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du="http://schemas.microsoft.com/office/word/2023/wordml/word16du" mc:Ignorable="w14 w15 w16se w16cid w16 w16cex w16sdtdh wp14">
  <w:body>
    <w:p w:rsidRPr="00EB657D" w:rsidR="00282AE7" w:rsidP="4BC6B5A4" w:rsidRDefault="00282AE7" w14:paraId="3D29D374" w14:textId="77777777">
      <w:pPr>
        <w:spacing w:after="0" w:line="240" w:lineRule="auto"/>
        <w:jc w:val="left"/>
        <w:rPr>
          <w:rFonts w:eastAsia="Times New Roman" w:cs="Calibri" w:cstheme="minorAscii"/>
          <w:sz w:val="24"/>
          <w:szCs w:val="24"/>
          <w:lang w:val="en-GB" w:eastAsia="de-CH"/>
        </w:rPr>
      </w:pPr>
    </w:p>
    <w:p w:rsidRPr="00B679CE" w:rsidR="00213512" w:rsidP="15DFF1F7" w:rsidRDefault="00C778F7" w14:paraId="58046858" w14:textId="66A1F2D3">
      <w:pPr>
        <w:spacing w:after="0" w:line="240" w:lineRule="auto"/>
        <w:jc w:val="center"/>
        <w:rPr>
          <w:rFonts w:eastAsia="Times New Roman" w:cs="Calibri" w:cstheme="minorAscii"/>
          <w:b w:val="1"/>
          <w:bCs w:val="1"/>
          <w:sz w:val="20"/>
          <w:szCs w:val="20"/>
          <w:lang w:val="en-GB" w:eastAsia="de-CH"/>
        </w:rPr>
      </w:pPr>
      <w:r w:rsidRPr="15DFF1F7" w:rsidR="00C778F7">
        <w:rPr>
          <w:rFonts w:eastAsia="Times New Roman" w:cs="Calibri" w:cstheme="minorAscii"/>
          <w:b w:val="1"/>
          <w:bCs w:val="1"/>
          <w:lang w:val="en-GB" w:eastAsia="de-CH"/>
        </w:rPr>
        <w:t>Emerging Transdisciplinarity: Unpacking Phase 0 Dynamics in Socio-Technical Real-World Experimentation</w:t>
      </w:r>
    </w:p>
    <w:p w:rsidR="00C778F7" w:rsidP="00213512" w:rsidRDefault="00C778F7" w14:paraId="47FB5BBF" w14:textId="2712DFB6">
      <w:pPr>
        <w:spacing w:after="0" w:line="240" w:lineRule="auto"/>
        <w:rPr>
          <w:rFonts w:eastAsia="Times New Roman" w:cstheme="minorHAnsi"/>
          <w:lang w:val="en-US" w:eastAsia="de-CH"/>
        </w:rPr>
      </w:pPr>
    </w:p>
    <w:p w:rsidRPr="00B679CE" w:rsidR="00B679CE" w:rsidP="00213512" w:rsidRDefault="004B7FF2" w14:paraId="3EC42256" w14:textId="7C14FB35">
      <w:pPr>
        <w:spacing w:after="0" w:line="240" w:lineRule="auto"/>
        <w:rPr>
          <w:rFonts w:eastAsia="Times New Roman" w:cstheme="minorHAnsi"/>
          <w:lang w:val="de-DE" w:eastAsia="de-CH"/>
        </w:rPr>
      </w:pPr>
      <w:r w:rsidRPr="00B679CE">
        <w:rPr>
          <w:rFonts w:eastAsia="Times New Roman" w:cstheme="minorHAnsi"/>
          <w:lang w:val="de-DE" w:eastAsia="de-CH"/>
        </w:rPr>
        <w:t>Felix Eichbaum</w:t>
      </w:r>
      <w:r w:rsidRPr="00B679CE" w:rsidR="00B679CE">
        <w:rPr>
          <w:rFonts w:eastAsia="Times New Roman" w:cstheme="minorHAnsi"/>
          <w:vertAlign w:val="superscript"/>
          <w:lang w:val="de-DE" w:eastAsia="de-CH"/>
        </w:rPr>
        <w:t>1</w:t>
      </w:r>
      <w:r w:rsidRPr="00B679CE">
        <w:rPr>
          <w:rFonts w:eastAsia="Times New Roman" w:cstheme="minorHAnsi"/>
          <w:lang w:val="de-DE" w:eastAsia="de-CH"/>
        </w:rPr>
        <w:t xml:space="preserve">, </w:t>
      </w:r>
      <w:r w:rsidRPr="00B679CE" w:rsidR="00B679CE">
        <w:rPr>
          <w:rFonts w:eastAsia="Times New Roman" w:cstheme="minorHAnsi"/>
          <w:lang w:val="de-DE" w:eastAsia="de-CH"/>
        </w:rPr>
        <w:t>Tim Fraske</w:t>
      </w:r>
      <w:r w:rsidRPr="00B679CE" w:rsidR="00B679CE">
        <w:rPr>
          <w:rFonts w:eastAsia="Times New Roman" w:cstheme="minorHAnsi"/>
          <w:vertAlign w:val="superscript"/>
          <w:lang w:val="de-DE" w:eastAsia="de-CH"/>
        </w:rPr>
        <w:t>1</w:t>
      </w:r>
      <w:r w:rsidRPr="00B679CE" w:rsidR="00B679CE">
        <w:rPr>
          <w:rFonts w:eastAsia="Times New Roman" w:cstheme="minorHAnsi"/>
          <w:lang w:val="de-DE" w:eastAsia="de-CH"/>
        </w:rPr>
        <w:t>, Daniel J. Lang</w:t>
      </w:r>
      <w:r w:rsidRPr="00B679CE" w:rsidR="00B679CE">
        <w:rPr>
          <w:rFonts w:eastAsia="Times New Roman" w:cstheme="minorHAnsi"/>
          <w:vertAlign w:val="superscript"/>
          <w:lang w:val="de-DE" w:eastAsia="de-CH"/>
        </w:rPr>
        <w:t>1</w:t>
      </w:r>
    </w:p>
    <w:p w:rsidRPr="00B679CE" w:rsidR="00B679CE" w:rsidP="00213512" w:rsidRDefault="00B679CE" w14:paraId="37B01C64" w14:textId="77777777">
      <w:pPr>
        <w:spacing w:after="0" w:line="240" w:lineRule="auto"/>
        <w:rPr>
          <w:rFonts w:eastAsia="Times New Roman" w:cstheme="minorHAnsi"/>
          <w:lang w:val="de-DE" w:eastAsia="de-CH"/>
        </w:rPr>
      </w:pPr>
    </w:p>
    <w:p w:rsidR="00C778F7" w:rsidP="00213512" w:rsidRDefault="00B679CE" w14:paraId="71512B7E" w14:textId="4BF61C7C">
      <w:pPr>
        <w:spacing w:after="0" w:line="240" w:lineRule="auto"/>
        <w:rPr>
          <w:rFonts w:eastAsia="Times New Roman" w:cstheme="minorHAnsi"/>
          <w:lang w:val="en-US" w:eastAsia="de-CH"/>
        </w:rPr>
      </w:pPr>
      <w:r w:rsidRPr="00B679CE">
        <w:rPr>
          <w:rFonts w:eastAsia="Times New Roman" w:cstheme="minorHAnsi"/>
          <w:vertAlign w:val="superscript"/>
          <w:lang w:val="en-US" w:eastAsia="de-CH"/>
        </w:rPr>
        <w:t>1</w:t>
      </w:r>
      <w:r w:rsidRPr="004B7FF2" w:rsidR="004B7FF2">
        <w:rPr>
          <w:rFonts w:eastAsia="Times New Roman" w:cstheme="minorHAnsi"/>
          <w:lang w:val="en-US" w:eastAsia="de-CH"/>
        </w:rPr>
        <w:t>Institute for Technology Assessment and Systems Analysis (ITAS), Karlsruhe Institute of Technology (KIT), Germany</w:t>
      </w:r>
    </w:p>
    <w:p w:rsidR="00213512" w:rsidP="4BC6B5A4" w:rsidRDefault="00213512" w14:paraId="12FEFE7B" w14:textId="2AA0E567">
      <w:pPr>
        <w:pStyle w:val="Standard"/>
        <w:spacing w:after="0" w:line="240" w:lineRule="auto"/>
        <w:jc w:val="both"/>
        <w:rPr>
          <w:rFonts w:eastAsia="Times New Roman" w:cs="Calibri" w:cstheme="minorAscii"/>
          <w:lang w:val="en-US" w:eastAsia="de-CH"/>
        </w:rPr>
      </w:pPr>
      <w:r>
        <w:br/>
      </w:r>
      <w:r w:rsidRPr="4BC6B5A4" w:rsidR="4A840F10">
        <w:rPr>
          <w:rFonts w:ascii="Calibri" w:hAnsi="Calibri" w:eastAsia="Calibri" w:cs="Calibri"/>
          <w:noProof w:val="0"/>
          <w:sz w:val="22"/>
          <w:szCs w:val="22"/>
          <w:lang w:val="en-US"/>
        </w:rPr>
        <w:t xml:space="preserve">Socio-technical transition research increasingly engages with transdisciplinary real-world experiments </w:t>
      </w:r>
      <w:r w:rsidRPr="4BC6B5A4" w:rsidR="79843275">
        <w:rPr>
          <w:rFonts w:ascii="Calibri" w:hAnsi="Calibri" w:eastAsia="Calibri" w:cs="Calibri"/>
          <w:noProof w:val="0"/>
          <w:sz w:val="22"/>
          <w:szCs w:val="22"/>
          <w:lang w:val="en-US"/>
        </w:rPr>
        <w:t>to</w:t>
      </w:r>
      <w:r w:rsidRPr="4BC6B5A4" w:rsidR="4A840F10">
        <w:rPr>
          <w:rFonts w:ascii="Calibri" w:hAnsi="Calibri" w:eastAsia="Calibri" w:cs="Calibri"/>
          <w:noProof w:val="0"/>
          <w:sz w:val="22"/>
          <w:szCs w:val="22"/>
          <w:lang w:val="en-US"/>
        </w:rPr>
        <w:t xml:space="preserve"> study and support transformations toward sustainable futures</w:t>
      </w:r>
      <w:r w:rsidRPr="4BC6B5A4" w:rsidR="00D001BF">
        <w:rPr>
          <w:rFonts w:eastAsia="Times New Roman" w:cs="Calibri" w:cstheme="minorAscii"/>
          <w:lang w:val="en-US" w:eastAsia="de-CH"/>
        </w:rPr>
        <w:t>.</w:t>
      </w:r>
      <w:r w:rsidRPr="4BC6B5A4" w:rsidR="00D001BF">
        <w:rPr>
          <w:rFonts w:eastAsia="Times New Roman" w:cs="Calibri" w:cstheme="minorAscii"/>
          <w:lang w:val="en-US" w:eastAsia="de-CH"/>
        </w:rPr>
        <w:t xml:space="preserve"> </w:t>
      </w:r>
      <w:r w:rsidRPr="4BC6B5A4" w:rsidR="34B5135E">
        <w:rPr>
          <w:rFonts w:eastAsia="Times New Roman" w:cs="Calibri" w:cstheme="minorAscii"/>
          <w:lang w:val="en-US" w:eastAsia="de-CH"/>
        </w:rPr>
        <w:t xml:space="preserve"> However,</w:t>
      </w:r>
      <w:r w:rsidRPr="4BC6B5A4" w:rsidR="7AE2B5D6">
        <w:rPr>
          <w:rFonts w:eastAsia="Times New Roman" w:cs="Calibri" w:cstheme="minorAscii"/>
          <w:lang w:val="en-US" w:eastAsia="de-CH"/>
        </w:rPr>
        <w:t xml:space="preserve"> </w:t>
      </w:r>
      <w:r w:rsidRPr="4BC6B5A4" w:rsidR="00D001BF">
        <w:rPr>
          <w:rFonts w:eastAsia="Times New Roman" w:cs="Calibri" w:cstheme="minorAscii"/>
          <w:lang w:val="en-US" w:eastAsia="de-CH"/>
        </w:rPr>
        <w:t xml:space="preserve">little is known about how </w:t>
      </w:r>
      <w:r w:rsidRPr="4BC6B5A4" w:rsidR="00D001BF">
        <w:rPr>
          <w:rFonts w:eastAsia="Times New Roman" w:cs="Calibri" w:cstheme="minorAscii"/>
          <w:lang w:val="en-US" w:eastAsia="de-CH"/>
        </w:rPr>
        <w:t>transdisciplinarity</w:t>
      </w:r>
      <w:r w:rsidRPr="4BC6B5A4" w:rsidR="00D001BF">
        <w:rPr>
          <w:rFonts w:eastAsia="Times New Roman" w:cs="Calibri" w:cstheme="minorAscii"/>
          <w:lang w:val="en-US" w:eastAsia="de-CH"/>
        </w:rPr>
        <w:t xml:space="preserve"> develops during the</w:t>
      </w:r>
      <w:r w:rsidRPr="4BC6B5A4" w:rsidR="005F531D">
        <w:rPr>
          <w:rFonts w:eastAsia="Times New Roman" w:cs="Calibri" w:cstheme="minorAscii"/>
          <w:lang w:val="en-US" w:eastAsia="de-CH"/>
        </w:rPr>
        <w:t xml:space="preserve"> early and often informal</w:t>
      </w:r>
      <w:r w:rsidRPr="4BC6B5A4" w:rsidR="00D001BF">
        <w:rPr>
          <w:rFonts w:eastAsia="Times New Roman" w:cs="Calibri" w:cstheme="minorAscii"/>
          <w:lang w:val="en-US" w:eastAsia="de-CH"/>
        </w:rPr>
        <w:t xml:space="preserve"> stages of projects, particularly</w:t>
      </w:r>
      <w:r w:rsidRPr="4BC6B5A4" w:rsidR="005F531D">
        <w:rPr>
          <w:rFonts w:eastAsia="Times New Roman" w:cs="Calibri" w:cstheme="minorAscii"/>
          <w:lang w:val="en-US" w:eastAsia="de-CH"/>
        </w:rPr>
        <w:t xml:space="preserve"> when they</w:t>
      </w:r>
      <w:r w:rsidRPr="4BC6B5A4" w:rsidR="00D001BF">
        <w:rPr>
          <w:rFonts w:eastAsia="Times New Roman" w:cs="Calibri" w:cstheme="minorAscii"/>
          <w:lang w:val="en-US" w:eastAsia="de-CH"/>
        </w:rPr>
        <w:t xml:space="preserve"> are not explicitly designed according to ide</w:t>
      </w:r>
      <w:r w:rsidRPr="4BC6B5A4" w:rsidR="005F531D">
        <w:rPr>
          <w:rFonts w:eastAsia="Times New Roman" w:cs="Calibri" w:cstheme="minorAscii"/>
          <w:lang w:val="en-US" w:eastAsia="de-CH"/>
        </w:rPr>
        <w:t>al-typical</w:t>
      </w:r>
      <w:r w:rsidRPr="4BC6B5A4" w:rsidR="00D001BF">
        <w:rPr>
          <w:rFonts w:eastAsia="Times New Roman" w:cs="Calibri" w:cstheme="minorAscii"/>
          <w:lang w:val="en-US" w:eastAsia="de-CH"/>
        </w:rPr>
        <w:t xml:space="preserve"> TDR frameworks. Recent scholarship highlights the importance of th</w:t>
      </w:r>
      <w:r w:rsidRPr="4BC6B5A4" w:rsidR="005F531D">
        <w:rPr>
          <w:rFonts w:eastAsia="Times New Roman" w:cs="Calibri" w:cstheme="minorAscii"/>
          <w:lang w:val="en-US" w:eastAsia="de-CH"/>
        </w:rPr>
        <w:t>is</w:t>
      </w:r>
      <w:r w:rsidRPr="4BC6B5A4" w:rsidR="00D001BF">
        <w:rPr>
          <w:rFonts w:eastAsia="Times New Roman" w:cs="Calibri" w:cstheme="minorAscii"/>
          <w:lang w:val="en-US" w:eastAsia="de-CH"/>
        </w:rPr>
        <w:t xml:space="preserve"> initia</w:t>
      </w:r>
      <w:r w:rsidRPr="4BC6B5A4" w:rsidR="005A0023">
        <w:rPr>
          <w:rFonts w:eastAsia="Times New Roman" w:cs="Calibri" w:cstheme="minorAscii"/>
          <w:lang w:val="en-US" w:eastAsia="de-CH"/>
        </w:rPr>
        <w:t>tion</w:t>
      </w:r>
      <w:r w:rsidRPr="4BC6B5A4" w:rsidR="00D001BF">
        <w:rPr>
          <w:rFonts w:eastAsia="Times New Roman" w:cs="Calibri" w:cstheme="minorAscii"/>
          <w:lang w:val="en-US" w:eastAsia="de-CH"/>
        </w:rPr>
        <w:t xml:space="preserve"> phase</w:t>
      </w:r>
      <w:r w:rsidRPr="4BC6B5A4" w:rsidR="005F531D">
        <w:rPr>
          <w:rFonts w:eastAsia="Times New Roman" w:cs="Calibri" w:cstheme="minorAscii"/>
          <w:lang w:val="en-US" w:eastAsia="de-CH"/>
        </w:rPr>
        <w:t xml:space="preserve"> – </w:t>
      </w:r>
      <w:r w:rsidRPr="4BC6B5A4" w:rsidR="00D001BF">
        <w:rPr>
          <w:rFonts w:eastAsia="Times New Roman" w:cs="Calibri" w:cstheme="minorAscii"/>
          <w:lang w:val="en-US" w:eastAsia="de-CH"/>
        </w:rPr>
        <w:t>o</w:t>
      </w:r>
      <w:r w:rsidRPr="4BC6B5A4" w:rsidR="00AD464C">
        <w:rPr>
          <w:rFonts w:eastAsia="Times New Roman" w:cs="Calibri" w:cstheme="minorAscii"/>
          <w:lang w:val="en-US" w:eastAsia="de-CH"/>
        </w:rPr>
        <w:t>r</w:t>
      </w:r>
      <w:r w:rsidRPr="4BC6B5A4" w:rsidR="00D001BF">
        <w:rPr>
          <w:rFonts w:eastAsia="Times New Roman" w:cs="Calibri" w:cstheme="minorAscii"/>
          <w:lang w:val="en-US" w:eastAsia="de-CH"/>
        </w:rPr>
        <w:t xml:space="preserve"> </w:t>
      </w:r>
      <w:r w:rsidRPr="4BC6B5A4" w:rsidR="00D001BF">
        <w:rPr>
          <w:rFonts w:eastAsia="Times New Roman" w:cs="Calibri" w:cstheme="minorAscii"/>
          <w:i w:val="1"/>
          <w:iCs w:val="1"/>
          <w:lang w:val="en-US" w:eastAsia="de-CH"/>
        </w:rPr>
        <w:t>Phase 0</w:t>
      </w:r>
      <w:r w:rsidRPr="4BC6B5A4" w:rsidR="005F531D">
        <w:rPr>
          <w:rFonts w:eastAsia="Times New Roman" w:cs="Calibri" w:cstheme="minorAscii"/>
          <w:lang w:val="en-US" w:eastAsia="de-CH"/>
        </w:rPr>
        <w:t xml:space="preserve"> – </w:t>
      </w:r>
      <w:r w:rsidRPr="4BC6B5A4" w:rsidR="00D001BF">
        <w:rPr>
          <w:rFonts w:eastAsia="Times New Roman" w:cs="Calibri" w:cstheme="minorAscii"/>
          <w:lang w:val="en-US" w:eastAsia="de-CH"/>
        </w:rPr>
        <w:t>yet empirical evidence on how this phase unfolds i</w:t>
      </w:r>
      <w:r w:rsidRPr="4BC6B5A4" w:rsidR="00D001BF">
        <w:rPr>
          <w:rFonts w:eastAsia="Times New Roman" w:cs="Calibri" w:cstheme="minorAscii"/>
          <w:noProof w:val="0"/>
          <w:lang w:val="en-US" w:eastAsia="de-CH"/>
        </w:rPr>
        <w:t xml:space="preserve">n practice </w:t>
      </w:r>
      <w:r w:rsidRPr="4BC6B5A4" w:rsidR="00D001BF">
        <w:rPr>
          <w:rFonts w:eastAsia="Times New Roman" w:cs="Calibri" w:cstheme="minorAscii"/>
          <w:noProof w:val="0"/>
          <w:lang w:val="en-US" w:eastAsia="de-CH"/>
        </w:rPr>
        <w:t>remains</w:t>
      </w:r>
      <w:r w:rsidRPr="4BC6B5A4" w:rsidR="00D001BF">
        <w:rPr>
          <w:rFonts w:eastAsia="Times New Roman" w:cs="Calibri" w:cstheme="minorAscii"/>
          <w:lang w:val="en-US" w:eastAsia="de-CH"/>
        </w:rPr>
        <w:t xml:space="preserve"> limited</w:t>
      </w:r>
      <w:r w:rsidRPr="4BC6B5A4" w:rsidR="00967E13">
        <w:rPr>
          <w:rFonts w:eastAsia="Times New Roman" w:cs="Calibri" w:cstheme="minorAscii"/>
          <w:lang w:val="en-US" w:eastAsia="de-CH"/>
        </w:rPr>
        <w:t xml:space="preserve"> </w:t>
      </w:r>
      <w:r w:rsidRPr="4BC6B5A4" w:rsidR="00722538">
        <w:rPr>
          <w:rFonts w:ascii="Calibri" w:hAnsi="Calibri" w:cs="Calibri"/>
          <w:lang w:val="en-US"/>
        </w:rPr>
        <w:t>(</w:t>
      </w:r>
      <w:r w:rsidRPr="4BC6B5A4" w:rsidR="00722538">
        <w:rPr>
          <w:rFonts w:ascii="Calibri" w:hAnsi="Calibri" w:cs="Calibri"/>
          <w:lang w:val="en-US"/>
        </w:rPr>
        <w:t>Horcea-Milcu</w:t>
      </w:r>
      <w:r w:rsidRPr="4BC6B5A4" w:rsidR="00722538">
        <w:rPr>
          <w:rFonts w:ascii="Calibri" w:hAnsi="Calibri" w:cs="Calibri"/>
          <w:lang w:val="en-US"/>
        </w:rPr>
        <w:t xml:space="preserve"> et al., 2022)</w:t>
      </w:r>
      <w:r w:rsidRPr="4BC6B5A4" w:rsidR="00967E13">
        <w:rPr>
          <w:rFonts w:eastAsia="Times New Roman" w:cs="Calibri" w:cstheme="minorAscii"/>
          <w:lang w:val="en-US" w:eastAsia="de-CH"/>
        </w:rPr>
        <w:t>.</w:t>
      </w:r>
    </w:p>
    <w:p w:rsidR="5AE3E7B1" w:rsidP="4BC6B5A4" w:rsidRDefault="5AE3E7B1" w14:paraId="7D51EC31" w14:textId="20CE6EF8">
      <w:pPr>
        <w:pStyle w:val="Standard"/>
        <w:spacing w:after="0" w:line="240" w:lineRule="auto"/>
        <w:jc w:val="both"/>
        <w:rPr>
          <w:rFonts w:eastAsia="Times New Roman" w:cs="Calibri" w:cstheme="minorAscii"/>
          <w:lang w:val="en-US" w:eastAsia="de-CH"/>
        </w:rPr>
      </w:pPr>
      <w:r w:rsidRPr="4BC6B5A4" w:rsidR="5AE3E7B1">
        <w:rPr>
          <w:rFonts w:eastAsia="Times New Roman" w:cs="Calibri" w:cstheme="minorAscii"/>
          <w:lang w:val="en-US" w:eastAsia="de-CH"/>
        </w:rPr>
        <w:t xml:space="preserve">This paper examines the emergence of </w:t>
      </w:r>
      <w:r w:rsidRPr="4BC6B5A4" w:rsidR="5AE3E7B1">
        <w:rPr>
          <w:rFonts w:eastAsia="Times New Roman" w:cs="Calibri" w:cstheme="minorAscii"/>
          <w:lang w:val="en-US" w:eastAsia="de-CH"/>
        </w:rPr>
        <w:t>transdisciplinarity</w:t>
      </w:r>
      <w:r w:rsidRPr="4BC6B5A4" w:rsidR="5AE3E7B1">
        <w:rPr>
          <w:rFonts w:eastAsia="Times New Roman" w:cs="Calibri" w:cstheme="minorAscii"/>
          <w:lang w:val="en-US" w:eastAsia="de-CH"/>
        </w:rPr>
        <w:t xml:space="preserve"> during Phase 0 of</w:t>
      </w:r>
      <w:r w:rsidRPr="4BC6B5A4" w:rsidR="3D415C4F">
        <w:rPr>
          <w:rFonts w:eastAsia="Times New Roman" w:cs="Calibri" w:cstheme="minorAscii"/>
          <w:lang w:val="en-US" w:eastAsia="de-CH"/>
        </w:rPr>
        <w:t xml:space="preserve"> a project</w:t>
      </w:r>
      <w:r w:rsidRPr="4BC6B5A4" w:rsidR="5AE3E7B1">
        <w:rPr>
          <w:rFonts w:eastAsia="Times New Roman" w:cs="Calibri" w:cstheme="minorAscii"/>
          <w:lang w:val="en-US" w:eastAsia="de-CH"/>
        </w:rPr>
        <w:t xml:space="preserve"> focused on the implementation of autonomous mobility</w:t>
      </w:r>
      <w:r w:rsidRPr="4BC6B5A4" w:rsidR="02EE8B87">
        <w:rPr>
          <w:rFonts w:eastAsia="Times New Roman" w:cs="Calibri" w:cstheme="minorAscii"/>
          <w:lang w:val="en-US" w:eastAsia="de-CH"/>
        </w:rPr>
        <w:t xml:space="preserve"> in Switzerland</w:t>
      </w:r>
      <w:r w:rsidRPr="4BC6B5A4" w:rsidR="5AE3E7B1">
        <w:rPr>
          <w:rFonts w:eastAsia="Times New Roman" w:cs="Calibri" w:cstheme="minorAscii"/>
          <w:lang w:val="en-US" w:eastAsia="de-CH"/>
        </w:rPr>
        <w:t xml:space="preserve">. Unlike projects </w:t>
      </w:r>
      <w:r w:rsidRPr="4BC6B5A4" w:rsidR="662A71AB">
        <w:rPr>
          <w:rFonts w:eastAsia="Times New Roman" w:cs="Calibri" w:cstheme="minorAscii"/>
          <w:lang w:val="en-US" w:eastAsia="de-CH"/>
        </w:rPr>
        <w:t>explicitly</w:t>
      </w:r>
      <w:r w:rsidRPr="4BC6B5A4" w:rsidR="5AE3E7B1">
        <w:rPr>
          <w:rFonts w:eastAsia="Times New Roman" w:cs="Calibri" w:cstheme="minorAscii"/>
          <w:lang w:val="en-US" w:eastAsia="de-CH"/>
        </w:rPr>
        <w:t xml:space="preserve"> </w:t>
      </w:r>
      <w:r w:rsidRPr="4BC6B5A4" w:rsidR="662A71AB">
        <w:rPr>
          <w:rFonts w:eastAsia="Times New Roman" w:cs="Calibri" w:cstheme="minorAscii"/>
          <w:lang w:val="en-US" w:eastAsia="de-CH"/>
        </w:rPr>
        <w:t>designed</w:t>
      </w:r>
      <w:r w:rsidRPr="4BC6B5A4" w:rsidR="5AE3E7B1">
        <w:rPr>
          <w:rFonts w:eastAsia="Times New Roman" w:cs="Calibri" w:cstheme="minorAscii"/>
          <w:lang w:val="en-US" w:eastAsia="de-CH"/>
        </w:rPr>
        <w:t xml:space="preserve"> </w:t>
      </w:r>
      <w:r w:rsidRPr="4BC6B5A4" w:rsidR="21AE708A">
        <w:rPr>
          <w:rFonts w:eastAsia="Times New Roman" w:cs="Calibri" w:cstheme="minorAscii"/>
          <w:lang w:val="en-US" w:eastAsia="de-CH"/>
        </w:rPr>
        <w:t xml:space="preserve">as </w:t>
      </w:r>
      <w:r w:rsidRPr="4BC6B5A4" w:rsidR="5AE3E7B1">
        <w:rPr>
          <w:rFonts w:eastAsia="Times New Roman" w:cs="Calibri" w:cstheme="minorAscii"/>
          <w:lang w:val="en-US" w:eastAsia="de-CH"/>
        </w:rPr>
        <w:t xml:space="preserve">transdisciplinary, the case studied here was </w:t>
      </w:r>
      <w:r w:rsidRPr="4BC6B5A4" w:rsidR="5AE3E7B1">
        <w:rPr>
          <w:rFonts w:eastAsia="Times New Roman" w:cs="Calibri" w:cstheme="minorAscii"/>
          <w:lang w:val="en-US" w:eastAsia="de-CH"/>
        </w:rPr>
        <w:t>initiated</w:t>
      </w:r>
      <w:r w:rsidRPr="4BC6B5A4" w:rsidR="5AE3E7B1">
        <w:rPr>
          <w:rFonts w:eastAsia="Times New Roman" w:cs="Calibri" w:cstheme="minorAscii"/>
          <w:lang w:val="en-US" w:eastAsia="de-CH"/>
        </w:rPr>
        <w:t xml:space="preserve"> by practitioners and gradually developed transdisciplinary </w:t>
      </w:r>
      <w:r w:rsidRPr="4BC6B5A4" w:rsidR="491E718A">
        <w:rPr>
          <w:rFonts w:eastAsia="Times New Roman" w:cs="Calibri" w:cstheme="minorAscii"/>
          <w:lang w:val="en-US" w:eastAsia="de-CH"/>
        </w:rPr>
        <w:t>properties</w:t>
      </w:r>
      <w:r w:rsidRPr="4BC6B5A4" w:rsidR="7172DD97">
        <w:rPr>
          <w:rFonts w:eastAsia="Times New Roman" w:cs="Calibri" w:cstheme="minorAscii"/>
          <w:lang w:val="en-US" w:eastAsia="de-CH"/>
        </w:rPr>
        <w:t xml:space="preserve"> </w:t>
      </w:r>
      <w:r w:rsidRPr="4BC6B5A4" w:rsidR="5AE3E7B1">
        <w:rPr>
          <w:rFonts w:eastAsia="Times New Roman" w:cs="Calibri" w:cstheme="minorAscii"/>
          <w:lang w:val="en-US" w:eastAsia="de-CH"/>
        </w:rPr>
        <w:t>through</w:t>
      </w:r>
      <w:r w:rsidRPr="4BC6B5A4" w:rsidR="166FDDC7">
        <w:rPr>
          <w:rFonts w:eastAsia="Times New Roman" w:cs="Calibri" w:cstheme="minorAscii"/>
          <w:lang w:val="en-US" w:eastAsia="de-CH"/>
        </w:rPr>
        <w:t xml:space="preserve"> ongoing</w:t>
      </w:r>
      <w:r w:rsidRPr="4BC6B5A4" w:rsidR="02EE8B87">
        <w:rPr>
          <w:rFonts w:eastAsia="Times New Roman" w:cs="Calibri" w:cstheme="minorAscii"/>
          <w:lang w:val="en-US" w:eastAsia="de-CH"/>
        </w:rPr>
        <w:t xml:space="preserve"> </w:t>
      </w:r>
      <w:r w:rsidRPr="4BC6B5A4" w:rsidR="26E214CA">
        <w:rPr>
          <w:rFonts w:eastAsia="Times New Roman" w:cs="Calibri" w:cstheme="minorAscii"/>
          <w:lang w:val="en-US" w:eastAsia="de-CH"/>
        </w:rPr>
        <w:t xml:space="preserve">negotiation and </w:t>
      </w:r>
      <w:r w:rsidRPr="4BC6B5A4" w:rsidR="662A71AB">
        <w:rPr>
          <w:rFonts w:eastAsia="Times New Roman" w:cs="Calibri" w:cstheme="minorAscii"/>
          <w:lang w:val="en-US" w:eastAsia="de-CH"/>
        </w:rPr>
        <w:t xml:space="preserve">adaptive </w:t>
      </w:r>
      <w:r w:rsidRPr="4BC6B5A4" w:rsidR="5AE3E7B1">
        <w:rPr>
          <w:rFonts w:eastAsia="Times New Roman" w:cs="Calibri" w:cstheme="minorAscii"/>
          <w:lang w:val="en-US" w:eastAsia="de-CH"/>
        </w:rPr>
        <w:t xml:space="preserve">collaboration. Drawing on 19 semi-structured interviews and participant observation, we investigate how </w:t>
      </w:r>
      <w:r w:rsidRPr="4BC6B5A4" w:rsidR="662A71AB">
        <w:rPr>
          <w:rFonts w:eastAsia="Times New Roman" w:cs="Calibri" w:cstheme="minorAscii"/>
          <w:lang w:val="en-US" w:eastAsia="de-CH"/>
        </w:rPr>
        <w:t xml:space="preserve">the interplay of </w:t>
      </w:r>
      <w:r w:rsidRPr="4BC6B5A4" w:rsidR="5AE3E7B1">
        <w:rPr>
          <w:rFonts w:eastAsia="Times New Roman" w:cs="Calibri" w:cstheme="minorAscii"/>
          <w:lang w:val="en-US" w:eastAsia="de-CH"/>
        </w:rPr>
        <w:t>actor configurations and institutional</w:t>
      </w:r>
      <w:r w:rsidRPr="4BC6B5A4" w:rsidR="30F899D1">
        <w:rPr>
          <w:rFonts w:eastAsia="Times New Roman" w:cs="Calibri" w:cstheme="minorAscii"/>
          <w:lang w:val="en-US" w:eastAsia="de-CH"/>
        </w:rPr>
        <w:t xml:space="preserve"> conditions</w:t>
      </w:r>
      <w:r w:rsidRPr="4BC6B5A4" w:rsidR="5AE3E7B1">
        <w:rPr>
          <w:rFonts w:eastAsia="Times New Roman" w:cs="Calibri" w:cstheme="minorAscii"/>
          <w:lang w:val="en-US" w:eastAsia="de-CH"/>
        </w:rPr>
        <w:t xml:space="preserve"> </w:t>
      </w:r>
      <w:r w:rsidRPr="4BC6B5A4" w:rsidR="30F899D1">
        <w:rPr>
          <w:rFonts w:eastAsia="Times New Roman" w:cs="Calibri" w:cstheme="minorAscii"/>
          <w:lang w:val="en-US" w:eastAsia="de-CH"/>
        </w:rPr>
        <w:t>constituted Phase 0 as a dynamic negotiation arena and</w:t>
      </w:r>
      <w:r w:rsidRPr="4BC6B5A4" w:rsidR="662A71AB">
        <w:rPr>
          <w:rFonts w:eastAsia="Times New Roman" w:cs="Calibri" w:cstheme="minorAscii"/>
          <w:lang w:val="en-US" w:eastAsia="de-CH"/>
        </w:rPr>
        <w:t xml:space="preserve"> fostered the emergence of </w:t>
      </w:r>
      <w:r w:rsidRPr="4BC6B5A4" w:rsidR="30F899D1">
        <w:rPr>
          <w:rFonts w:eastAsia="Times New Roman" w:cs="Calibri" w:cstheme="minorAscii"/>
          <w:lang w:val="en-US" w:eastAsia="de-CH"/>
        </w:rPr>
        <w:t>transdisciplinarity</w:t>
      </w:r>
      <w:r w:rsidRPr="4BC6B5A4" w:rsidR="662A71AB">
        <w:rPr>
          <w:rFonts w:eastAsia="Times New Roman" w:cs="Calibri" w:cstheme="minorAscii"/>
          <w:lang w:val="en-US" w:eastAsia="de-CH"/>
        </w:rPr>
        <w:t>.</w:t>
      </w:r>
      <w:r w:rsidRPr="4BC6B5A4" w:rsidR="1F78A844">
        <w:rPr>
          <w:rFonts w:eastAsia="Times New Roman" w:cs="Calibri" w:cstheme="minorAscii"/>
          <w:lang w:val="en-US" w:eastAsia="de-CH"/>
        </w:rPr>
        <w:t xml:space="preserve"> The study contributes to the conceptual foundations of TDR by demonstrating that, in specific contexts, transdisciplinarity can be better understood as an emergent and dynamic property of collaboration rather as the outcome of predefined project characteristics </w:t>
      </w:r>
      <w:r w:rsidRPr="4BC6B5A4" w:rsidR="1F78A844">
        <w:rPr>
          <w:rFonts w:ascii="Calibri" w:hAnsi="Calibri" w:cs="Calibri"/>
          <w:lang w:val="en-US"/>
        </w:rPr>
        <w:t>(Bellotti, 2016; Van Breda &amp; Swilling, 2019)</w:t>
      </w:r>
      <w:r w:rsidRPr="4BC6B5A4" w:rsidR="1F78A844">
        <w:rPr>
          <w:rFonts w:eastAsia="Times New Roman" w:cs="Calibri" w:cstheme="minorAscii"/>
          <w:lang w:val="en-US" w:eastAsia="de-CH"/>
        </w:rPr>
        <w:t>.</w:t>
      </w:r>
    </w:p>
    <w:p w:rsidR="7971554A" w:rsidP="4BC6B5A4" w:rsidRDefault="7971554A" w14:paraId="2AB86742" w14:textId="43921031">
      <w:pPr>
        <w:pStyle w:val="Standard"/>
        <w:spacing w:after="0" w:line="240" w:lineRule="auto"/>
        <w:jc w:val="both"/>
        <w:rPr>
          <w:rFonts w:ascii="Calibri" w:hAnsi="Calibri" w:eastAsia="Calibri" w:cs="Calibri" w:asciiTheme="minorAscii" w:hAnsiTheme="minorAscii" w:eastAsiaTheme="minorAscii" w:cstheme="minorAscii"/>
          <w:color w:val="auto"/>
          <w:sz w:val="22"/>
          <w:szCs w:val="22"/>
          <w:lang w:val="en-US" w:eastAsia="de-CH" w:bidi="ar-SA"/>
        </w:rPr>
      </w:pPr>
      <w:r w:rsidRPr="4BC6B5A4" w:rsidR="7971554A">
        <w:rPr>
          <w:rFonts w:eastAsia="Times New Roman" w:cs="Calibri" w:cstheme="minorAscii"/>
          <w:lang w:val="en-US" w:eastAsia="de-CH"/>
        </w:rPr>
        <w:t xml:space="preserve">We structure our findings around three key processes that characterize Phase 0: </w:t>
      </w:r>
      <w:r w:rsidRPr="4BC6B5A4" w:rsidR="7971554A">
        <w:rPr>
          <w:rFonts w:eastAsia="Times New Roman" w:cs="Calibri" w:cstheme="minorAscii"/>
          <w:i w:val="1"/>
          <w:iCs w:val="1"/>
          <w:lang w:val="en-US" w:eastAsia="de-CH"/>
        </w:rPr>
        <w:t>informally coming together</w:t>
      </w:r>
      <w:r w:rsidRPr="4BC6B5A4" w:rsidR="7971554A">
        <w:rPr>
          <w:rFonts w:eastAsia="Times New Roman" w:cs="Calibri" w:cstheme="minorAscii"/>
          <w:lang w:val="en-US" w:eastAsia="de-CH"/>
        </w:rPr>
        <w:t xml:space="preserve">, </w:t>
      </w:r>
      <w:r w:rsidRPr="4BC6B5A4" w:rsidR="7971554A">
        <w:rPr>
          <w:rFonts w:eastAsia="Times New Roman" w:cs="Calibri" w:cstheme="minorAscii"/>
          <w:i w:val="1"/>
          <w:iCs w:val="1"/>
          <w:lang w:val="en-US" w:eastAsia="de-CH"/>
        </w:rPr>
        <w:t>project initiation and formalization</w:t>
      </w:r>
      <w:r w:rsidRPr="4BC6B5A4" w:rsidR="7971554A">
        <w:rPr>
          <w:rFonts w:eastAsia="Times New Roman" w:cs="Calibri" w:cstheme="minorAscii"/>
          <w:lang w:val="en-US" w:eastAsia="de-CH"/>
        </w:rPr>
        <w:t xml:space="preserve">, and </w:t>
      </w:r>
      <w:r w:rsidRPr="4BC6B5A4" w:rsidR="7971554A">
        <w:rPr>
          <w:rFonts w:eastAsia="Times New Roman" w:cs="Calibri" w:cstheme="minorAscii"/>
          <w:i w:val="1"/>
          <w:iCs w:val="1"/>
          <w:lang w:val="en-US" w:eastAsia="de-CH"/>
        </w:rPr>
        <w:t>capacity building for experimentation and implementation</w:t>
      </w:r>
      <w:r w:rsidRPr="4BC6B5A4" w:rsidR="7971554A">
        <w:rPr>
          <w:rFonts w:eastAsia="Times New Roman" w:cs="Calibri" w:cstheme="minorAscii"/>
          <w:lang w:val="en-US" w:eastAsia="de-CH"/>
        </w:rPr>
        <w:t xml:space="preserve">. </w:t>
      </w:r>
      <w:r w:rsidRPr="4BC6B5A4" w:rsidR="679A54F6">
        <w:rPr>
          <w:rFonts w:ascii="Calibri" w:hAnsi="Calibri" w:eastAsia="Calibri" w:cs="Calibri" w:asciiTheme="minorAscii" w:hAnsiTheme="minorAscii" w:eastAsiaTheme="minorAscii" w:cstheme="minorAscii"/>
          <w:noProof w:val="0"/>
          <w:color w:val="auto"/>
          <w:sz w:val="22"/>
          <w:szCs w:val="22"/>
          <w:lang w:val="en-US" w:eastAsia="de-CH" w:bidi="ar-SA"/>
        </w:rPr>
        <w:t xml:space="preserve">Our findings show that Phase 0 is characterized by the gradual alignment of actors around a shared opportunity and problem orientation. A favorable window of opportunity enabled actors with complementary motivations to form an initially informal coalition united by the ambition to </w:t>
      </w:r>
      <w:r w:rsidRPr="4BC6B5A4" w:rsidR="679A54F6">
        <w:rPr>
          <w:rFonts w:ascii="Calibri" w:hAnsi="Calibri" w:eastAsia="Calibri" w:cs="Calibri" w:asciiTheme="minorAscii" w:hAnsiTheme="minorAscii" w:eastAsiaTheme="minorAscii" w:cstheme="minorAscii"/>
          <w:noProof w:val="0"/>
          <w:color w:val="auto"/>
          <w:sz w:val="22"/>
          <w:szCs w:val="22"/>
          <w:lang w:val="en-US" w:eastAsia="de-CH" w:bidi="ar-SA"/>
        </w:rPr>
        <w:t xml:space="preserve">learn from autonomous mobility under real-world conditions. As the project evolved, this coalition became progressively stabilized through the formalization of responsibilities under conditions of regulatory uncertainty. In doing so, Phase 0 gradually </w:t>
      </w:r>
      <w:r w:rsidRPr="4BC6B5A4" w:rsidR="679A54F6">
        <w:rPr>
          <w:rFonts w:ascii="Calibri" w:hAnsi="Calibri" w:eastAsia="Calibri" w:cs="Calibri" w:asciiTheme="minorAscii" w:hAnsiTheme="minorAscii" w:eastAsiaTheme="minorAscii" w:cstheme="minorAscii"/>
          <w:noProof w:val="0"/>
          <w:color w:val="auto"/>
          <w:sz w:val="22"/>
          <w:szCs w:val="22"/>
          <w:lang w:val="en-US" w:eastAsia="de-CH" w:bidi="ar-SA"/>
        </w:rPr>
        <w:t>established</w:t>
      </w:r>
      <w:r w:rsidRPr="4BC6B5A4" w:rsidR="679A54F6">
        <w:rPr>
          <w:rFonts w:ascii="Calibri" w:hAnsi="Calibri" w:eastAsia="Calibri" w:cs="Calibri" w:asciiTheme="minorAscii" w:hAnsiTheme="minorAscii" w:eastAsiaTheme="minorAscii" w:cstheme="minorAscii"/>
          <w:noProof w:val="0"/>
          <w:color w:val="auto"/>
          <w:sz w:val="22"/>
          <w:szCs w:val="22"/>
          <w:lang w:val="en-US" w:eastAsia="de-CH" w:bidi="ar-SA"/>
        </w:rPr>
        <w:t xml:space="preserve"> the foundations upon which transdisciplinary forms of collaboration</w:t>
      </w:r>
      <w:r w:rsidRPr="4BC6B5A4" w:rsidR="0A9A8040">
        <w:rPr>
          <w:rFonts w:ascii="Calibri" w:hAnsi="Calibri" w:eastAsia="Calibri" w:cs="Calibri" w:asciiTheme="minorAscii" w:hAnsiTheme="minorAscii" w:eastAsiaTheme="minorAscii" w:cstheme="minorAscii"/>
          <w:noProof w:val="0"/>
          <w:color w:val="auto"/>
          <w:sz w:val="22"/>
          <w:szCs w:val="22"/>
          <w:lang w:val="en-US" w:eastAsia="de-CH" w:bidi="ar-SA"/>
        </w:rPr>
        <w:t xml:space="preserve"> subsequently emerged</w:t>
      </w:r>
      <w:r w:rsidRPr="4BC6B5A4" w:rsidR="679A54F6">
        <w:rPr>
          <w:rFonts w:ascii="Calibri" w:hAnsi="Calibri" w:eastAsia="Calibri" w:cs="Calibri" w:asciiTheme="minorAscii" w:hAnsiTheme="minorAscii" w:eastAsiaTheme="minorAscii" w:cstheme="minorAscii"/>
          <w:noProof w:val="0"/>
          <w:color w:val="auto"/>
          <w:sz w:val="22"/>
          <w:szCs w:val="22"/>
          <w:lang w:val="en-US" w:eastAsia="de-CH" w:bidi="ar-SA"/>
        </w:rPr>
        <w:t>.</w:t>
      </w:r>
    </w:p>
    <w:p w:rsidR="00002DCD" w:rsidP="2D583C46" w:rsidRDefault="00D001BF" w14:paraId="5243C283" w14:textId="781DC323">
      <w:pPr>
        <w:spacing w:after="0" w:line="240" w:lineRule="auto"/>
        <w:jc w:val="both"/>
        <w:rPr>
          <w:rFonts w:eastAsia="Times New Roman" w:cs="Calibri" w:cstheme="minorAscii"/>
          <w:lang w:val="en-US" w:eastAsia="de-CH"/>
        </w:rPr>
      </w:pPr>
      <w:r w:rsidRPr="4BC6B5A4" w:rsidR="689D45BB">
        <w:rPr>
          <w:rFonts w:ascii="Calibri" w:hAnsi="Calibri" w:eastAsia="Calibri" w:cs="Calibri" w:asciiTheme="minorAscii" w:hAnsiTheme="minorAscii" w:eastAsiaTheme="minorAscii" w:cstheme="minorAscii"/>
          <w:noProof w:val="0"/>
          <w:color w:val="auto"/>
          <w:sz w:val="22"/>
          <w:szCs w:val="22"/>
          <w:lang w:val="en-US" w:eastAsia="de-CH" w:bidi="ar-SA"/>
        </w:rPr>
        <w:t xml:space="preserve">We </w:t>
      </w:r>
      <w:r w:rsidRPr="4BC6B5A4" w:rsidR="5647AC40">
        <w:rPr>
          <w:rFonts w:ascii="Calibri" w:hAnsi="Calibri" w:eastAsia="Calibri" w:cs="Calibri" w:asciiTheme="minorAscii" w:hAnsiTheme="minorAscii" w:eastAsiaTheme="minorAscii" w:cstheme="minorAscii"/>
          <w:noProof w:val="0"/>
          <w:color w:val="auto"/>
          <w:sz w:val="22"/>
          <w:szCs w:val="22"/>
          <w:lang w:val="en-US" w:eastAsia="de-CH" w:bidi="ar-SA"/>
        </w:rPr>
        <w:t xml:space="preserve">argue </w:t>
      </w:r>
      <w:r w:rsidRPr="4BC6B5A4" w:rsidR="689D45BB">
        <w:rPr>
          <w:rFonts w:ascii="Calibri" w:hAnsi="Calibri" w:eastAsia="Calibri" w:cs="Calibri" w:asciiTheme="minorAscii" w:hAnsiTheme="minorAscii" w:eastAsiaTheme="minorAscii" w:cstheme="minorAscii"/>
          <w:noProof w:val="0"/>
          <w:color w:val="auto"/>
          <w:sz w:val="22"/>
          <w:szCs w:val="22"/>
          <w:lang w:val="en-US" w:eastAsia="de-CH" w:bidi="ar-SA"/>
        </w:rPr>
        <w:t xml:space="preserve">that understanding </w:t>
      </w:r>
      <w:r w:rsidRPr="4BC6B5A4" w:rsidR="689D45BB">
        <w:rPr>
          <w:rFonts w:ascii="Calibri" w:hAnsi="Calibri" w:eastAsia="Calibri" w:cs="Calibri" w:asciiTheme="minorAscii" w:hAnsiTheme="minorAscii" w:eastAsiaTheme="minorAscii" w:cstheme="minorAscii"/>
          <w:noProof w:val="0"/>
          <w:color w:val="auto"/>
          <w:sz w:val="22"/>
          <w:szCs w:val="22"/>
          <w:lang w:val="en-US" w:eastAsia="de-CH" w:bidi="ar-SA"/>
        </w:rPr>
        <w:t>transdisciplinarity</w:t>
      </w:r>
      <w:r w:rsidRPr="4BC6B5A4" w:rsidR="689D45BB">
        <w:rPr>
          <w:rFonts w:ascii="Calibri" w:hAnsi="Calibri" w:eastAsia="Calibri" w:cs="Calibri" w:asciiTheme="minorAscii" w:hAnsiTheme="minorAscii" w:eastAsiaTheme="minorAscii" w:cstheme="minorAscii"/>
          <w:noProof w:val="0"/>
          <w:color w:val="auto"/>
          <w:sz w:val="22"/>
          <w:szCs w:val="22"/>
          <w:lang w:val="en-US" w:eastAsia="de-CH" w:bidi="ar-SA"/>
        </w:rPr>
        <w:t xml:space="preserve"> as an emergent property complements existing conceptualizations of Phase 0 by shifting attention from how collaboration should be designed to how collaborative arenas </w:t>
      </w:r>
      <w:r w:rsidRPr="4BC6B5A4" w:rsidR="689D45BB">
        <w:rPr>
          <w:rFonts w:ascii="Calibri" w:hAnsi="Calibri" w:eastAsia="Calibri" w:cs="Calibri" w:asciiTheme="minorAscii" w:hAnsiTheme="minorAscii" w:eastAsiaTheme="minorAscii" w:cstheme="minorAscii"/>
          <w:noProof w:val="0"/>
          <w:color w:val="auto"/>
          <w:sz w:val="22"/>
          <w:szCs w:val="22"/>
          <w:lang w:val="en-US" w:eastAsia="de-CH" w:bidi="ar-SA"/>
        </w:rPr>
        <w:t>emerge</w:t>
      </w:r>
      <w:r w:rsidRPr="4BC6B5A4" w:rsidR="689D45BB">
        <w:rPr>
          <w:rFonts w:ascii="Calibri" w:hAnsi="Calibri" w:eastAsia="Calibri" w:cs="Calibri" w:asciiTheme="minorAscii" w:hAnsiTheme="minorAscii" w:eastAsiaTheme="minorAscii" w:cstheme="minorAscii"/>
          <w:noProof w:val="0"/>
          <w:color w:val="auto"/>
          <w:sz w:val="22"/>
          <w:szCs w:val="22"/>
          <w:lang w:val="en-US" w:eastAsia="de-CH" w:bidi="ar-SA"/>
        </w:rPr>
        <w:t xml:space="preserve"> and evolve in </w:t>
      </w:r>
      <w:r w:rsidRPr="4BC6B5A4" w:rsidR="689D45BB">
        <w:rPr>
          <w:rFonts w:ascii="Calibri" w:hAnsi="Calibri" w:eastAsia="Calibri" w:cs="Calibri" w:asciiTheme="minorAscii" w:hAnsiTheme="minorAscii" w:eastAsiaTheme="minorAscii" w:cstheme="minorAscii"/>
          <w:noProof w:val="0"/>
          <w:color w:val="auto"/>
          <w:sz w:val="22"/>
          <w:szCs w:val="22"/>
          <w:lang w:val="en-US" w:eastAsia="de-CH" w:bidi="ar-SA"/>
        </w:rPr>
        <w:t>practice.</w:t>
      </w:r>
      <w:r w:rsidRPr="4BC6B5A4" w:rsidR="030332FE">
        <w:rPr>
          <w:rFonts w:ascii="Calibri" w:hAnsi="Calibri" w:eastAsia="Calibri" w:cs="Calibri" w:asciiTheme="minorAscii" w:hAnsiTheme="minorAscii" w:eastAsiaTheme="minorAscii" w:cstheme="minorAscii"/>
          <w:noProof w:val="0"/>
          <w:color w:val="auto"/>
          <w:sz w:val="22"/>
          <w:szCs w:val="22"/>
          <w:lang w:val="en-US" w:eastAsia="de-CH" w:bidi="ar-SA"/>
        </w:rPr>
        <w:t xml:space="preserve"> </w:t>
      </w:r>
      <w:r w:rsidRPr="4BC6B5A4" w:rsidR="648F502B">
        <w:rPr>
          <w:rFonts w:eastAsia="Times New Roman" w:cs="Calibri" w:cstheme="minorAscii"/>
          <w:lang w:val="en-US" w:eastAsia="de-CH"/>
        </w:rPr>
        <w:t>Our</w:t>
      </w:r>
      <w:r w:rsidRPr="4BC6B5A4" w:rsidR="5AE3E7B1">
        <w:rPr>
          <w:rFonts w:eastAsia="Times New Roman" w:cs="Calibri" w:cstheme="minorAscii"/>
          <w:lang w:val="en-US" w:eastAsia="de-CH"/>
        </w:rPr>
        <w:t xml:space="preserve"> findings </w:t>
      </w:r>
      <w:r w:rsidRPr="4BC6B5A4" w:rsidR="7971554A">
        <w:rPr>
          <w:rFonts w:eastAsia="Times New Roman" w:cs="Calibri" w:cstheme="minorAscii"/>
          <w:lang w:val="en-US" w:eastAsia="de-CH"/>
        </w:rPr>
        <w:t xml:space="preserve">further </w:t>
      </w:r>
      <w:r w:rsidRPr="4BC6B5A4" w:rsidR="5AE3E7B1">
        <w:rPr>
          <w:rFonts w:eastAsia="Times New Roman" w:cs="Calibri" w:cstheme="minorAscii"/>
          <w:lang w:val="en-US" w:eastAsia="de-CH"/>
        </w:rPr>
        <w:t xml:space="preserve">suggest that TDR frameworks and funding schemes should move beyond linear planning assumptions and provide </w:t>
      </w:r>
      <w:r w:rsidRPr="4BC6B5A4" w:rsidR="312DD114">
        <w:rPr>
          <w:rFonts w:eastAsia="Times New Roman" w:cs="Calibri" w:cstheme="minorAscii"/>
          <w:lang w:val="en-US" w:eastAsia="de-CH"/>
        </w:rPr>
        <w:t xml:space="preserve">adaptive </w:t>
      </w:r>
      <w:r w:rsidRPr="4BC6B5A4" w:rsidR="5AE3E7B1">
        <w:rPr>
          <w:rFonts w:eastAsia="Times New Roman" w:cs="Calibri" w:cstheme="minorAscii"/>
          <w:lang w:val="en-US" w:eastAsia="de-CH"/>
        </w:rPr>
        <w:t xml:space="preserve">support structures that accommodate uncertainty and open-ended project trajectories. Such flexibility appears particularly important </w:t>
      </w:r>
      <w:r w:rsidRPr="4BC6B5A4" w:rsidR="260C05EB">
        <w:rPr>
          <w:rFonts w:eastAsia="Times New Roman" w:cs="Calibri" w:cstheme="minorAscii"/>
          <w:lang w:val="en-US" w:eastAsia="de-CH"/>
        </w:rPr>
        <w:t xml:space="preserve">in experimental and innovation-oriented settings, where project </w:t>
      </w:r>
      <w:r w:rsidRPr="4BC6B5A4" w:rsidR="648F502B">
        <w:rPr>
          <w:rFonts w:eastAsia="Times New Roman" w:cs="Calibri" w:cstheme="minorAscii"/>
          <w:lang w:val="en-US" w:eastAsia="de-CH"/>
        </w:rPr>
        <w:t>progressions</w:t>
      </w:r>
      <w:r w:rsidRPr="4BC6B5A4" w:rsidR="260C05EB">
        <w:rPr>
          <w:rFonts w:eastAsia="Times New Roman" w:cs="Calibri" w:cstheme="minorAscii"/>
          <w:lang w:val="en-US" w:eastAsia="de-CH"/>
        </w:rPr>
        <w:t xml:space="preserve"> often </w:t>
      </w:r>
      <w:r w:rsidRPr="4BC6B5A4" w:rsidR="260C05EB">
        <w:rPr>
          <w:rFonts w:eastAsia="Times New Roman" w:cs="Calibri" w:cstheme="minorAscii"/>
          <w:lang w:val="en-US" w:eastAsia="de-CH"/>
        </w:rPr>
        <w:t>remain</w:t>
      </w:r>
      <w:r w:rsidRPr="4BC6B5A4" w:rsidR="260C05EB">
        <w:rPr>
          <w:rFonts w:eastAsia="Times New Roman" w:cs="Calibri" w:cstheme="minorAscii"/>
          <w:lang w:val="en-US" w:eastAsia="de-CH"/>
        </w:rPr>
        <w:t xml:space="preserve"> open </w:t>
      </w:r>
      <w:r w:rsidRPr="4BC6B5A4" w:rsidR="260C05EB">
        <w:rPr>
          <w:rFonts w:eastAsia="Times New Roman" w:cs="Calibri" w:cstheme="minorAscii"/>
          <w:lang w:val="en-US" w:eastAsia="de-CH"/>
        </w:rPr>
        <w:t xml:space="preserve">throughout </w:t>
      </w:r>
      <w:r w:rsidRPr="4BC6B5A4" w:rsidR="123BD899">
        <w:rPr>
          <w:rFonts w:eastAsia="Times New Roman" w:cs="Calibri" w:cstheme="minorAscii"/>
          <w:lang w:val="en-US" w:eastAsia="de-CH"/>
        </w:rPr>
        <w:t>Phase 0</w:t>
      </w:r>
      <w:r w:rsidRPr="4BC6B5A4" w:rsidR="260C05EB">
        <w:rPr>
          <w:rFonts w:eastAsia="Times New Roman" w:cs="Calibri" w:cstheme="minorAscii"/>
          <w:lang w:val="en-US" w:eastAsia="de-CH"/>
        </w:rPr>
        <w:t>.</w:t>
      </w:r>
    </w:p>
    <w:p w:rsidR="00967E13" w:rsidP="00B679CE" w:rsidRDefault="00967E13" w14:paraId="0F2EFB33" w14:textId="77777777">
      <w:pPr>
        <w:spacing w:after="0" w:line="240" w:lineRule="auto"/>
        <w:jc w:val="both"/>
        <w:rPr>
          <w:rFonts w:eastAsia="Times New Roman" w:cstheme="minorHAnsi"/>
          <w:lang w:val="en-US" w:eastAsia="de-CH"/>
        </w:rPr>
      </w:pPr>
    </w:p>
    <w:p w:rsidRPr="00722538" w:rsidR="00722538" w:rsidP="00F733D8" w:rsidRDefault="00722538" w14:paraId="15CC3417" w14:textId="59F59F69">
      <w:pPr>
        <w:pStyle w:val="Literaturverzeichnis"/>
        <w:spacing w:line="276" w:lineRule="auto"/>
        <w:rPr>
          <w:lang w:val="en-US"/>
        </w:rPr>
      </w:pPr>
      <w:r w:rsidRPr="00722538">
        <w:rPr>
          <w:lang w:val="en-US"/>
        </w:rPr>
        <w:t xml:space="preserve">Bellotti, B. (2016). Transdisciplinarity as an emergent property in an agricultural research-for-development project on the East India Plateau. In D. Fam, J. Palmer, C. </w:t>
      </w:r>
      <w:proofErr w:type="spellStart"/>
      <w:r w:rsidRPr="00722538">
        <w:rPr>
          <w:lang w:val="en-US"/>
        </w:rPr>
        <w:t>Riedy</w:t>
      </w:r>
      <w:proofErr w:type="spellEnd"/>
      <w:r w:rsidRPr="00722538">
        <w:rPr>
          <w:lang w:val="en-US"/>
        </w:rPr>
        <w:t xml:space="preserve">, &amp; C. Mitchell (Eds), </w:t>
      </w:r>
      <w:r w:rsidRPr="00722538">
        <w:rPr>
          <w:i/>
          <w:iCs/>
          <w:lang w:val="en-US"/>
        </w:rPr>
        <w:t>Transdisciplinary Research and Practice for Sustainability Outcomes</w:t>
      </w:r>
      <w:r w:rsidRPr="00722538">
        <w:rPr>
          <w:lang w:val="en-US"/>
        </w:rPr>
        <w:t xml:space="preserve"> (pp. 221–235). Routledge. https://doi.org/10.4324/9781315652184</w:t>
      </w:r>
    </w:p>
    <w:p w:rsidRPr="00722538" w:rsidR="00722538" w:rsidP="00F733D8" w:rsidRDefault="00722538" w14:paraId="55F72434" w14:textId="77777777">
      <w:pPr>
        <w:pStyle w:val="Literaturverzeichnis"/>
        <w:spacing w:line="276" w:lineRule="auto"/>
        <w:rPr>
          <w:lang w:val="en-US"/>
        </w:rPr>
      </w:pPr>
      <w:proofErr w:type="spellStart"/>
      <w:r w:rsidRPr="00722538">
        <w:rPr>
          <w:lang w:val="en-US"/>
        </w:rPr>
        <w:lastRenderedPageBreak/>
        <w:t>Horcea-Milcu</w:t>
      </w:r>
      <w:proofErr w:type="spellEnd"/>
      <w:r w:rsidRPr="00722538">
        <w:rPr>
          <w:lang w:val="en-US"/>
        </w:rPr>
        <w:t xml:space="preserve">, A.-I., </w:t>
      </w:r>
      <w:proofErr w:type="spellStart"/>
      <w:r w:rsidRPr="00722538">
        <w:rPr>
          <w:lang w:val="en-US"/>
        </w:rPr>
        <w:t>Leventon</w:t>
      </w:r>
      <w:proofErr w:type="spellEnd"/>
      <w:r w:rsidRPr="00722538">
        <w:rPr>
          <w:lang w:val="en-US"/>
        </w:rPr>
        <w:t xml:space="preserve">, J., &amp; Lang, D. J. (2022). Making transdisciplinarity happen: Phase 0, or before the beginning. </w:t>
      </w:r>
      <w:r w:rsidRPr="00722538">
        <w:rPr>
          <w:i/>
          <w:iCs/>
          <w:lang w:val="en-US"/>
        </w:rPr>
        <w:t>Environmental Science &amp; Policy</w:t>
      </w:r>
      <w:r w:rsidRPr="00722538">
        <w:rPr>
          <w:lang w:val="en-US"/>
        </w:rPr>
        <w:t xml:space="preserve">, </w:t>
      </w:r>
      <w:r w:rsidRPr="00722538">
        <w:rPr>
          <w:i/>
          <w:iCs/>
          <w:lang w:val="en-US"/>
        </w:rPr>
        <w:t>136</w:t>
      </w:r>
      <w:r w:rsidRPr="00722538">
        <w:rPr>
          <w:lang w:val="en-US"/>
        </w:rPr>
        <w:t>, 187–197. https://doi.org/10.1016/j.envsci.2022.05.019</w:t>
      </w:r>
    </w:p>
    <w:p w:rsidRPr="00722538" w:rsidR="00722538" w:rsidP="00F733D8" w:rsidRDefault="00722538" w14:paraId="0534D488" w14:textId="77777777">
      <w:pPr>
        <w:pStyle w:val="Literaturverzeichnis"/>
        <w:spacing w:line="276" w:lineRule="auto"/>
      </w:pPr>
      <w:r w:rsidRPr="00722538">
        <w:rPr>
          <w:lang w:val="en-US"/>
        </w:rPr>
        <w:t xml:space="preserve">Van Breda, J., &amp; Swilling, M. (2019). The guiding logics and principles for designing emergent transdisciplinary research processes: Learning experiences and reflections from a transdisciplinary urban case study in </w:t>
      </w:r>
      <w:proofErr w:type="spellStart"/>
      <w:r w:rsidRPr="00722538">
        <w:rPr>
          <w:lang w:val="en-US"/>
        </w:rPr>
        <w:t>Enkanini</w:t>
      </w:r>
      <w:proofErr w:type="spellEnd"/>
      <w:r w:rsidRPr="00722538">
        <w:rPr>
          <w:lang w:val="en-US"/>
        </w:rPr>
        <w:t xml:space="preserve"> informal settlement, South Africa. </w:t>
      </w:r>
      <w:proofErr w:type="spellStart"/>
      <w:r w:rsidRPr="00722538">
        <w:rPr>
          <w:i/>
          <w:iCs/>
        </w:rPr>
        <w:t>Sustainability</w:t>
      </w:r>
      <w:proofErr w:type="spellEnd"/>
      <w:r w:rsidRPr="00722538">
        <w:rPr>
          <w:i/>
          <w:iCs/>
        </w:rPr>
        <w:t xml:space="preserve"> Science</w:t>
      </w:r>
      <w:r w:rsidRPr="00722538">
        <w:t xml:space="preserve">, </w:t>
      </w:r>
      <w:r w:rsidRPr="00722538">
        <w:rPr>
          <w:i/>
          <w:iCs/>
        </w:rPr>
        <w:t>14</w:t>
      </w:r>
      <w:r w:rsidRPr="00722538">
        <w:t>(3), 823–841. https://doi.org/10.1007/s11625-018-0606-x</w:t>
      </w:r>
    </w:p>
    <w:p w:rsidRPr="00B679CE" w:rsidR="00967E13" w:rsidP="00F733D8" w:rsidRDefault="00967E13" w14:paraId="56AD434B" w14:textId="6CC4EE44">
      <w:pPr>
        <w:spacing w:after="0" w:line="276" w:lineRule="auto"/>
        <w:jc w:val="both"/>
        <w:rPr>
          <w:rFonts w:eastAsia="Times New Roman" w:cstheme="minorHAnsi"/>
          <w:lang w:val="en-US" w:eastAsia="de-CH"/>
        </w:rPr>
      </w:pPr>
    </w:p>
    <w:sectPr w:rsidRPr="00B679CE" w:rsidR="00967E13" w:rsidSect="00213512">
      <w:headerReference w:type="default" r:id="rId6"/>
      <w:pgSz w:w="11906" w:h="16838" w:orient="portrait"/>
      <w:pgMar w:top="993" w:right="1701" w:bottom="1417" w:left="1701"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740A9" w:rsidP="00282AE7" w:rsidRDefault="006740A9" w14:paraId="6764ED94" w14:textId="77777777">
      <w:pPr>
        <w:spacing w:after="0" w:line="240" w:lineRule="auto"/>
      </w:pPr>
      <w:r>
        <w:separator/>
      </w:r>
    </w:p>
  </w:endnote>
  <w:endnote w:type="continuationSeparator" w:id="0">
    <w:p w:rsidR="006740A9" w:rsidP="00282AE7" w:rsidRDefault="006740A9" w14:paraId="333A912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740A9" w:rsidP="00282AE7" w:rsidRDefault="006740A9" w14:paraId="5F7E7DC9" w14:textId="77777777">
      <w:pPr>
        <w:spacing w:after="0" w:line="240" w:lineRule="auto"/>
      </w:pPr>
      <w:r>
        <w:separator/>
      </w:r>
    </w:p>
  </w:footnote>
  <w:footnote w:type="continuationSeparator" w:id="0">
    <w:p w:rsidR="006740A9" w:rsidP="00282AE7" w:rsidRDefault="006740A9" w14:paraId="7B8ED6F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82AE7" w:rsidP="00282AE7" w:rsidRDefault="00282AE7" w14:paraId="54DC5EFB" w14:textId="77777777">
    <w:pPr>
      <w:pStyle w:val="Kopfzeile"/>
      <w:jc w:val="center"/>
    </w:pPr>
    <w:r>
      <w:rPr>
        <w:noProof/>
      </w:rPr>
      <w:drawing>
        <wp:inline distT="0" distB="0" distL="0" distR="0" wp14:anchorId="72445523" wp14:editId="428313A1">
          <wp:extent cx="1174090" cy="346067"/>
          <wp:effectExtent l="0" t="0" r="0" b="0"/>
          <wp:docPr id="474308766" name="Imagem 1" descr="Uma imagem com Gráficos, logótipo, Tipo de letra, design gráfic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08766" name="Imagem 1" descr="Uma imagem com Gráficos, logótipo, Tipo de letra, design gráfico&#10;&#10;Os conteúdos gerados por IA podem estar incorret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3813" cy="351881"/>
                  </a:xfrm>
                  <a:prstGeom prst="rect">
                    <a:avLst/>
                  </a:prstGeom>
                  <a:noFill/>
                  <a:ln>
                    <a:noFill/>
                  </a:ln>
                </pic:spPr>
              </pic:pic>
            </a:graphicData>
          </a:graphic>
        </wp:inline>
      </w:drawing>
    </w:r>
  </w:p>
  <w:p w:rsidRPr="004B7FF2" w:rsidR="00282AE7" w:rsidP="00282AE7" w:rsidRDefault="00282AE7" w14:paraId="54BC9B0B" w14:textId="16F18646">
    <w:pPr>
      <w:spacing w:before="3"/>
      <w:jc w:val="center"/>
      <w:rPr>
        <w:rFonts w:ascii="Helvetica" w:hAnsi="Helvetica" w:cs="Arial"/>
        <w:bCs/>
        <w:color w:val="3A9DDB"/>
        <w:sz w:val="13"/>
        <w:szCs w:val="13"/>
        <w:lang w:val="en-US"/>
      </w:rPr>
    </w:pPr>
    <w:r w:rsidRPr="004B7FF2">
      <w:rPr>
        <w:rFonts w:ascii="Helvetica" w:hAnsi="Helvetica" w:cs="Arial"/>
        <w:bCs/>
        <w:color w:val="3A9DDB"/>
        <w:sz w:val="13"/>
        <w:szCs w:val="13"/>
        <w:lang w:val="en-US"/>
      </w:rPr>
      <w:t>International Inter- and Transdisciplinarity (ITD) Conference</w:t>
    </w:r>
  </w:p>
</w:hdr>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12"/>
    <w:rsid w:val="00002DCD"/>
    <w:rsid w:val="00127A3D"/>
    <w:rsid w:val="001E33C0"/>
    <w:rsid w:val="00213512"/>
    <w:rsid w:val="00282AE7"/>
    <w:rsid w:val="00287D83"/>
    <w:rsid w:val="00294F28"/>
    <w:rsid w:val="002C1CE8"/>
    <w:rsid w:val="002C7F5B"/>
    <w:rsid w:val="002F261D"/>
    <w:rsid w:val="0036619C"/>
    <w:rsid w:val="003F2359"/>
    <w:rsid w:val="004B7FF2"/>
    <w:rsid w:val="004F282A"/>
    <w:rsid w:val="0054184D"/>
    <w:rsid w:val="005A0023"/>
    <w:rsid w:val="005F531D"/>
    <w:rsid w:val="00654230"/>
    <w:rsid w:val="006740A9"/>
    <w:rsid w:val="00722538"/>
    <w:rsid w:val="0072498D"/>
    <w:rsid w:val="008D2DEC"/>
    <w:rsid w:val="00944CDA"/>
    <w:rsid w:val="00967E13"/>
    <w:rsid w:val="00974461"/>
    <w:rsid w:val="00A1468A"/>
    <w:rsid w:val="00AD464C"/>
    <w:rsid w:val="00B037F3"/>
    <w:rsid w:val="00B679CE"/>
    <w:rsid w:val="00B73532"/>
    <w:rsid w:val="00B87EBC"/>
    <w:rsid w:val="00C52B46"/>
    <w:rsid w:val="00C778F7"/>
    <w:rsid w:val="00D001BF"/>
    <w:rsid w:val="00D63D93"/>
    <w:rsid w:val="00D844A3"/>
    <w:rsid w:val="00E92F5B"/>
    <w:rsid w:val="00E957AC"/>
    <w:rsid w:val="00EA6CFE"/>
    <w:rsid w:val="00EB657D"/>
    <w:rsid w:val="00F733D8"/>
    <w:rsid w:val="02EE8B87"/>
    <w:rsid w:val="030332FE"/>
    <w:rsid w:val="0349E21A"/>
    <w:rsid w:val="046B466F"/>
    <w:rsid w:val="04DB1C37"/>
    <w:rsid w:val="05893B5C"/>
    <w:rsid w:val="0A9A8040"/>
    <w:rsid w:val="0E9660A4"/>
    <w:rsid w:val="0FE82B39"/>
    <w:rsid w:val="123BD899"/>
    <w:rsid w:val="13186F9B"/>
    <w:rsid w:val="15DFF1F7"/>
    <w:rsid w:val="15FAE92A"/>
    <w:rsid w:val="16131EAF"/>
    <w:rsid w:val="166FDDC7"/>
    <w:rsid w:val="18F3A8AD"/>
    <w:rsid w:val="1B56AED1"/>
    <w:rsid w:val="1CBE0F96"/>
    <w:rsid w:val="1F78A844"/>
    <w:rsid w:val="21AE708A"/>
    <w:rsid w:val="22CE6671"/>
    <w:rsid w:val="260C05EB"/>
    <w:rsid w:val="2617BE03"/>
    <w:rsid w:val="26E214CA"/>
    <w:rsid w:val="2953903E"/>
    <w:rsid w:val="2A75EA55"/>
    <w:rsid w:val="2D583C46"/>
    <w:rsid w:val="2ECBCAE6"/>
    <w:rsid w:val="2F8BE27A"/>
    <w:rsid w:val="30F899D1"/>
    <w:rsid w:val="312DD114"/>
    <w:rsid w:val="3154D1AA"/>
    <w:rsid w:val="34B5135E"/>
    <w:rsid w:val="351F16CD"/>
    <w:rsid w:val="3577B52F"/>
    <w:rsid w:val="374048D1"/>
    <w:rsid w:val="399AB16B"/>
    <w:rsid w:val="3D415C4F"/>
    <w:rsid w:val="3DF5691F"/>
    <w:rsid w:val="3FA4424A"/>
    <w:rsid w:val="491E718A"/>
    <w:rsid w:val="4A840F10"/>
    <w:rsid w:val="4BC6B5A4"/>
    <w:rsid w:val="5194FF5D"/>
    <w:rsid w:val="528FA770"/>
    <w:rsid w:val="5647AC40"/>
    <w:rsid w:val="572CD435"/>
    <w:rsid w:val="5A2C702A"/>
    <w:rsid w:val="5AE3E7B1"/>
    <w:rsid w:val="5C059D72"/>
    <w:rsid w:val="648F502B"/>
    <w:rsid w:val="662A71AB"/>
    <w:rsid w:val="679A54F6"/>
    <w:rsid w:val="67F10050"/>
    <w:rsid w:val="6897C4AD"/>
    <w:rsid w:val="689D45BB"/>
    <w:rsid w:val="6B3C50F5"/>
    <w:rsid w:val="6C56D1CF"/>
    <w:rsid w:val="6C785A3D"/>
    <w:rsid w:val="7172DD97"/>
    <w:rsid w:val="73E77C97"/>
    <w:rsid w:val="767D8118"/>
    <w:rsid w:val="77BD7158"/>
    <w:rsid w:val="7971554A"/>
    <w:rsid w:val="79843275"/>
    <w:rsid w:val="7A367737"/>
    <w:rsid w:val="7AE2B5D6"/>
    <w:rsid w:val="7B6941EB"/>
    <w:rsid w:val="7C3D7CB0"/>
    <w:rsid w:val="7C9B438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E47CF"/>
  <w15:chartTrackingRefBased/>
  <w15:docId w15:val="{8B622611-94B3-43BE-AD71-E634035D1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213512"/>
    <w:rPr>
      <w:lang w:val="de-CH"/>
    </w:rPr>
  </w:style>
  <w:style w:type="character" w:styleId="Absatz-Standardschriftart" w:default="1">
    <w:name w:val="Default Paragraph Font"/>
    <w:uiPriority w:val="1"/>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character" w:styleId="Kommentarzeichen">
    <w:name w:val="annotation reference"/>
    <w:basedOn w:val="Absatz-Standardschriftart"/>
    <w:uiPriority w:val="99"/>
    <w:semiHidden/>
    <w:unhideWhenUsed/>
    <w:rsid w:val="00D63D93"/>
    <w:rPr>
      <w:sz w:val="16"/>
      <w:szCs w:val="16"/>
    </w:rPr>
  </w:style>
  <w:style w:type="paragraph" w:styleId="Kommentartext">
    <w:name w:val="annotation text"/>
    <w:basedOn w:val="Standard"/>
    <w:link w:val="KommentartextZchn"/>
    <w:uiPriority w:val="99"/>
    <w:semiHidden/>
    <w:unhideWhenUsed/>
    <w:rsid w:val="00D63D93"/>
    <w:pPr>
      <w:spacing w:line="240" w:lineRule="auto"/>
    </w:pPr>
    <w:rPr>
      <w:sz w:val="20"/>
      <w:szCs w:val="20"/>
    </w:rPr>
  </w:style>
  <w:style w:type="character" w:styleId="KommentartextZchn" w:customStyle="1">
    <w:name w:val="Kommentartext Zchn"/>
    <w:basedOn w:val="Absatz-Standardschriftart"/>
    <w:link w:val="Kommentartext"/>
    <w:uiPriority w:val="99"/>
    <w:semiHidden/>
    <w:rsid w:val="00D63D93"/>
    <w:rPr>
      <w:sz w:val="20"/>
      <w:szCs w:val="20"/>
      <w:lang w:val="de-CH"/>
    </w:rPr>
  </w:style>
  <w:style w:type="paragraph" w:styleId="Kommentarthema">
    <w:name w:val="annotation subject"/>
    <w:basedOn w:val="Kommentartext"/>
    <w:next w:val="Kommentartext"/>
    <w:link w:val="KommentarthemaZchn"/>
    <w:uiPriority w:val="99"/>
    <w:semiHidden/>
    <w:unhideWhenUsed/>
    <w:rsid w:val="00D63D93"/>
    <w:rPr>
      <w:b/>
      <w:bCs/>
    </w:rPr>
  </w:style>
  <w:style w:type="character" w:styleId="KommentarthemaZchn" w:customStyle="1">
    <w:name w:val="Kommentarthema Zchn"/>
    <w:basedOn w:val="KommentartextZchn"/>
    <w:link w:val="Kommentarthema"/>
    <w:uiPriority w:val="99"/>
    <w:semiHidden/>
    <w:rsid w:val="00D63D93"/>
    <w:rPr>
      <w:b/>
      <w:bCs/>
      <w:sz w:val="20"/>
      <w:szCs w:val="20"/>
      <w:lang w:val="de-CH"/>
    </w:rPr>
  </w:style>
  <w:style w:type="paragraph" w:styleId="berarbeitung">
    <w:name w:val="Revision"/>
    <w:hidden/>
    <w:uiPriority w:val="99"/>
    <w:semiHidden/>
    <w:rsid w:val="00D63D93"/>
    <w:pPr>
      <w:spacing w:after="0" w:line="240" w:lineRule="auto"/>
    </w:pPr>
    <w:rPr>
      <w:lang w:val="de-CH"/>
    </w:rPr>
  </w:style>
  <w:style w:type="paragraph" w:styleId="Kopfzeile">
    <w:name w:val="header"/>
    <w:basedOn w:val="Standard"/>
    <w:link w:val="KopfzeileZchn"/>
    <w:uiPriority w:val="99"/>
    <w:unhideWhenUsed/>
    <w:rsid w:val="00282AE7"/>
    <w:pPr>
      <w:tabs>
        <w:tab w:val="center" w:pos="4513"/>
        <w:tab w:val="right" w:pos="9026"/>
      </w:tabs>
      <w:spacing w:after="0" w:line="240" w:lineRule="auto"/>
    </w:pPr>
  </w:style>
  <w:style w:type="character" w:styleId="KopfzeileZchn" w:customStyle="1">
    <w:name w:val="Kopfzeile Zchn"/>
    <w:basedOn w:val="Absatz-Standardschriftart"/>
    <w:link w:val="Kopfzeile"/>
    <w:uiPriority w:val="99"/>
    <w:rsid w:val="00282AE7"/>
    <w:rPr>
      <w:lang w:val="de-CH"/>
    </w:rPr>
  </w:style>
  <w:style w:type="paragraph" w:styleId="Fuzeile">
    <w:name w:val="footer"/>
    <w:basedOn w:val="Standard"/>
    <w:link w:val="FuzeileZchn"/>
    <w:uiPriority w:val="99"/>
    <w:unhideWhenUsed/>
    <w:rsid w:val="00282AE7"/>
    <w:pPr>
      <w:tabs>
        <w:tab w:val="center" w:pos="4513"/>
        <w:tab w:val="right" w:pos="9026"/>
      </w:tabs>
      <w:spacing w:after="0" w:line="240" w:lineRule="auto"/>
    </w:pPr>
  </w:style>
  <w:style w:type="character" w:styleId="FuzeileZchn" w:customStyle="1">
    <w:name w:val="Fußzeile Zchn"/>
    <w:basedOn w:val="Absatz-Standardschriftart"/>
    <w:link w:val="Fuzeile"/>
    <w:uiPriority w:val="99"/>
    <w:rsid w:val="00282AE7"/>
    <w:rPr>
      <w:lang w:val="de-CH"/>
    </w:rPr>
  </w:style>
  <w:style w:type="paragraph" w:styleId="Literaturverzeichnis">
    <w:name w:val="Bibliography"/>
    <w:basedOn w:val="Standard"/>
    <w:next w:val="Standard"/>
    <w:uiPriority w:val="37"/>
    <w:unhideWhenUsed/>
    <w:rsid w:val="004B7FF2"/>
    <w:pPr>
      <w:spacing w:after="0" w:line="480" w:lineRule="auto"/>
      <w:ind w:left="720" w:hanging="720"/>
    </w:pPr>
  </w:style>
  <w:style w:type="character" w:styleId="Hyperlink">
    <w:name w:val="Hyperlink"/>
    <w:basedOn w:val="Absatz-Standardschriftart"/>
    <w:uiPriority w:val="99"/>
    <w:unhideWhenUsed/>
    <w:rsid w:val="004B7FF2"/>
    <w:rPr>
      <w:color w:val="0563C1" w:themeColor="hyperlink"/>
      <w:u w:val="single"/>
    </w:rPr>
  </w:style>
  <w:style w:type="paragraph" w:styleId="StandardWeb">
    <w:name w:val="Normal (Web)"/>
    <w:basedOn w:val="Standard"/>
    <w:uiPriority w:val="99"/>
    <w:semiHidden/>
    <w:unhideWhenUsed/>
    <w:rsid w:val="00D001B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26705">
      <w:bodyDiv w:val="1"/>
      <w:marLeft w:val="0"/>
      <w:marRight w:val="0"/>
      <w:marTop w:val="0"/>
      <w:marBottom w:val="0"/>
      <w:divBdr>
        <w:top w:val="none" w:sz="0" w:space="0" w:color="auto"/>
        <w:left w:val="none" w:sz="0" w:space="0" w:color="auto"/>
        <w:bottom w:val="none" w:sz="0" w:space="0" w:color="auto"/>
        <w:right w:val="none" w:sz="0" w:space="0" w:color="auto"/>
      </w:divBdr>
      <w:divsChild>
        <w:div w:id="1487896188">
          <w:marLeft w:val="0"/>
          <w:marRight w:val="0"/>
          <w:marTop w:val="0"/>
          <w:marBottom w:val="0"/>
          <w:divBdr>
            <w:top w:val="none" w:sz="0" w:space="0" w:color="auto"/>
            <w:left w:val="none" w:sz="0" w:space="0" w:color="auto"/>
            <w:bottom w:val="none" w:sz="0" w:space="0" w:color="auto"/>
            <w:right w:val="none" w:sz="0" w:space="0" w:color="auto"/>
          </w:divBdr>
        </w:div>
      </w:divsChild>
    </w:div>
    <w:div w:id="1312757639">
      <w:bodyDiv w:val="1"/>
      <w:marLeft w:val="0"/>
      <w:marRight w:val="0"/>
      <w:marTop w:val="0"/>
      <w:marBottom w:val="0"/>
      <w:divBdr>
        <w:top w:val="none" w:sz="0" w:space="0" w:color="auto"/>
        <w:left w:val="none" w:sz="0" w:space="0" w:color="auto"/>
        <w:bottom w:val="none" w:sz="0" w:space="0" w:color="auto"/>
        <w:right w:val="none" w:sz="0" w:space="0" w:color="auto"/>
      </w:divBdr>
    </w:div>
    <w:div w:id="1443960047">
      <w:bodyDiv w:val="1"/>
      <w:marLeft w:val="0"/>
      <w:marRight w:val="0"/>
      <w:marTop w:val="0"/>
      <w:marBottom w:val="0"/>
      <w:divBdr>
        <w:top w:val="none" w:sz="0" w:space="0" w:color="auto"/>
        <w:left w:val="none" w:sz="0" w:space="0" w:color="auto"/>
        <w:bottom w:val="none" w:sz="0" w:space="0" w:color="auto"/>
        <w:right w:val="none" w:sz="0" w:space="0" w:color="auto"/>
      </w:divBdr>
    </w:div>
    <w:div w:id="1573857421">
      <w:bodyDiv w:val="1"/>
      <w:marLeft w:val="0"/>
      <w:marRight w:val="0"/>
      <w:marTop w:val="0"/>
      <w:marBottom w:val="0"/>
      <w:divBdr>
        <w:top w:val="none" w:sz="0" w:space="0" w:color="auto"/>
        <w:left w:val="none" w:sz="0" w:space="0" w:color="auto"/>
        <w:bottom w:val="none" w:sz="0" w:space="0" w:color="auto"/>
        <w:right w:val="none" w:sz="0" w:space="0" w:color="auto"/>
      </w:divBdr>
      <w:divsChild>
        <w:div w:id="523638201">
          <w:marLeft w:val="0"/>
          <w:marRight w:val="0"/>
          <w:marTop w:val="0"/>
          <w:marBottom w:val="0"/>
          <w:divBdr>
            <w:top w:val="none" w:sz="0" w:space="0" w:color="auto"/>
            <w:left w:val="none" w:sz="0" w:space="0" w:color="auto"/>
            <w:bottom w:val="none" w:sz="0" w:space="0" w:color="auto"/>
            <w:right w:val="none" w:sz="0" w:space="0" w:color="auto"/>
          </w:divBdr>
        </w:div>
      </w:divsChild>
    </w:div>
    <w:div w:id="1591697009">
      <w:bodyDiv w:val="1"/>
      <w:marLeft w:val="0"/>
      <w:marRight w:val="0"/>
      <w:marTop w:val="0"/>
      <w:marBottom w:val="0"/>
      <w:divBdr>
        <w:top w:val="none" w:sz="0" w:space="0" w:color="auto"/>
        <w:left w:val="none" w:sz="0" w:space="0" w:color="auto"/>
        <w:bottom w:val="none" w:sz="0" w:space="0" w:color="auto"/>
        <w:right w:val="none" w:sz="0" w:space="0" w:color="auto"/>
      </w:divBdr>
    </w:div>
    <w:div w:id="170035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customXml" Target="../customXml/item3.xml" Id="rId11" /><Relationship Type="http://schemas.openxmlformats.org/officeDocument/2006/relationships/endnotes" Target="endnotes.xml" Id="rId5" /><Relationship Type="http://schemas.openxmlformats.org/officeDocument/2006/relationships/customXml" Target="../customXml/item2.xml" Id="rId10" /><Relationship Type="http://schemas.openxmlformats.org/officeDocument/2006/relationships/footnotes" Target="footnotes.xml" Id="rId4" /><Relationship Type="http://schemas.openxmlformats.org/officeDocument/2006/relationships/customXml" Target="../customXml/item1.xml" Id="rId9" /><Relationship Type="http://schemas.microsoft.com/office/2016/09/relationships/commentsIds" Target="commentsIds.xml" Id="R9c6ad53eca1a4f2f" /><Relationship Type="http://schemas.microsoft.com/office/2011/relationships/commentsExtended" Target="commentsExtended.xml" Id="Ra0e77a1808b948a6" /><Relationship Type="http://schemas.microsoft.com/office/2011/relationships/people" Target="people.xml" Id="R532179eb8ba048fb"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09FE75EE325F4E8D6081C29BED2F4A" ma:contentTypeVersion="10" ma:contentTypeDescription="Create a new document." ma:contentTypeScope="" ma:versionID="67bcf4145927e11245077a9935cc6c7c">
  <xsd:schema xmlns:xsd="http://www.w3.org/2001/XMLSchema" xmlns:xs="http://www.w3.org/2001/XMLSchema" xmlns:p="http://schemas.microsoft.com/office/2006/metadata/properties" xmlns:ns2="be1afb18-f045-4dae-9861-0c16bfc926b0" xmlns:ns3="afee52f3-6e01-4a51-871c-484808da40f4" targetNamespace="http://schemas.microsoft.com/office/2006/metadata/properties" ma:root="true" ma:fieldsID="98802dcb7aaf21e138b521856c6aa956" ns2:_="" ns3:_="">
    <xsd:import namespace="be1afb18-f045-4dae-9861-0c16bfc926b0"/>
    <xsd:import namespace="afee52f3-6e01-4a51-871c-484808da40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afb18-f045-4dae-9861-0c16bfc926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6641f5-0da7-4f48-9a81-ef320f60568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ee52f3-6e01-4a51-871c-484808da40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183b04-378a-46c9-9fdf-acc9d6363b29}" ma:internalName="TaxCatchAll" ma:showField="CatchAllData" ma:web="afee52f3-6e01-4a51-871c-484808da40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1afb18-f045-4dae-9861-0c16bfc926b0">
      <Terms xmlns="http://schemas.microsoft.com/office/infopath/2007/PartnerControls"/>
    </lcf76f155ced4ddcb4097134ff3c332f>
    <TaxCatchAll xmlns="afee52f3-6e01-4a51-871c-484808da40f4" xsi:nil="true"/>
  </documentManagement>
</p:properties>
</file>

<file path=customXml/itemProps1.xml><?xml version="1.0" encoding="utf-8"?>
<ds:datastoreItem xmlns:ds="http://schemas.openxmlformats.org/officeDocument/2006/customXml" ds:itemID="{E1D8099B-2DD7-478C-BDF4-18DA5B089CB9}"/>
</file>

<file path=customXml/itemProps2.xml><?xml version="1.0" encoding="utf-8"?>
<ds:datastoreItem xmlns:ds="http://schemas.openxmlformats.org/officeDocument/2006/customXml" ds:itemID="{3ED8ED3B-6EDA-4554-B6D9-93CDFD2A6838}"/>
</file>

<file path=customXml/itemProps3.xml><?xml version="1.0" encoding="utf-8"?>
<ds:datastoreItem xmlns:ds="http://schemas.openxmlformats.org/officeDocument/2006/customXml" ds:itemID="{EC750607-6AEC-448F-8D32-C435940ED81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Patrícia Gazimba Bacalhau</dc:creator>
  <keywords/>
  <dc:description/>
  <lastModifiedBy>Eichbaum, Felix (ITAS)</lastModifiedBy>
  <revision>18</revision>
  <dcterms:created xsi:type="dcterms:W3CDTF">2026-06-25T12:08:00.0000000Z</dcterms:created>
  <dcterms:modified xsi:type="dcterms:W3CDTF">2026-06-29T16:46:21.1455705Z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id="xVB1kerj"/&gt;&lt;style id="http://www.zotero.org/styles/apa" locale="en-GB"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y fmtid="{D5CDD505-2E9C-101B-9397-08002B2CF9AE}" pid="4" name="ContentTypeId">
    <vt:lpwstr>0x0101007709FE75EE325F4E8D6081C29BED2F4A</vt:lpwstr>
  </property>
  <property fmtid="{D5CDD505-2E9C-101B-9397-08002B2CF9AE}" pid="5" name="MediaServiceImageTags">
    <vt:lpwstr/>
  </property>
</Properties>
</file>