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9D374" w14:textId="77777777" w:rsidR="00282AE7" w:rsidRDefault="00282AE7" w:rsidP="00213512">
      <w:pPr>
        <w:spacing w:after="0" w:line="240" w:lineRule="auto"/>
        <w:rPr>
          <w:rFonts w:eastAsia="Times New Roman" w:cstheme="minorHAnsi"/>
          <w:b/>
          <w:bCs/>
          <w:i/>
          <w:iCs/>
          <w:sz w:val="24"/>
          <w:szCs w:val="24"/>
          <w:lang w:val="en-GB" w:eastAsia="de-CH"/>
        </w:rPr>
      </w:pPr>
    </w:p>
    <w:p w14:paraId="50BCAE0A" w14:textId="124D5E5D" w:rsidR="00282AE7" w:rsidRDefault="00213512" w:rsidP="00282AE7">
      <w:pPr>
        <w:spacing w:after="0" w:line="240" w:lineRule="auto"/>
        <w:jc w:val="center"/>
        <w:rPr>
          <w:rFonts w:eastAsia="Times New Roman" w:cstheme="minorHAnsi"/>
          <w:b/>
          <w:bCs/>
          <w:i/>
          <w:iCs/>
          <w:sz w:val="24"/>
          <w:szCs w:val="24"/>
          <w:lang w:val="en-GB" w:eastAsia="de-CH"/>
        </w:rPr>
      </w:pPr>
      <w:r w:rsidRPr="008C6C74">
        <w:rPr>
          <w:rFonts w:eastAsia="Times New Roman" w:cstheme="minorHAnsi"/>
          <w:b/>
          <w:bCs/>
          <w:i/>
          <w:iCs/>
          <w:sz w:val="24"/>
          <w:szCs w:val="24"/>
          <w:lang w:val="en-GB" w:eastAsia="de-CH"/>
        </w:rPr>
        <w:t>Abstract Template</w:t>
      </w:r>
    </w:p>
    <w:p w14:paraId="7ADB0AE5" w14:textId="6F2D4C4B" w:rsidR="00213512" w:rsidRPr="008C6C74" w:rsidRDefault="00213512" w:rsidP="00282AE7">
      <w:pPr>
        <w:spacing w:after="0" w:line="240" w:lineRule="auto"/>
        <w:jc w:val="center"/>
        <w:rPr>
          <w:rFonts w:eastAsia="Times New Roman" w:cstheme="minorHAnsi"/>
          <w:b/>
          <w:bCs/>
          <w:i/>
          <w:iCs/>
          <w:sz w:val="24"/>
          <w:szCs w:val="24"/>
          <w:lang w:val="en-GB" w:eastAsia="de-CH"/>
        </w:rPr>
      </w:pPr>
      <w:r w:rsidRPr="008C6C74">
        <w:rPr>
          <w:rFonts w:eastAsia="Times New Roman" w:cstheme="minorHAnsi"/>
          <w:b/>
          <w:bCs/>
          <w:i/>
          <w:iCs/>
          <w:sz w:val="24"/>
          <w:szCs w:val="24"/>
          <w:lang w:val="en-GB" w:eastAsia="de-CH"/>
        </w:rPr>
        <w:t>International Inter and Transdisciplinarity Conference 2027</w:t>
      </w:r>
    </w:p>
    <w:p w14:paraId="6C4EC866" w14:textId="77777777" w:rsidR="00080A90" w:rsidRDefault="00080A90" w:rsidP="00213512">
      <w:pPr>
        <w:spacing w:after="0" w:line="240" w:lineRule="auto"/>
        <w:rPr>
          <w:rFonts w:eastAsia="Times New Roman" w:cstheme="minorHAnsi"/>
          <w:b/>
          <w:bCs/>
          <w:lang w:val="en-GB" w:eastAsia="de-CH"/>
        </w:rPr>
      </w:pPr>
    </w:p>
    <w:p w14:paraId="4983C64C" w14:textId="2108DE8F" w:rsidR="00D63D93" w:rsidRPr="00282AE7" w:rsidRDefault="00213512" w:rsidP="00213512">
      <w:pPr>
        <w:spacing w:after="0" w:line="240" w:lineRule="auto"/>
        <w:rPr>
          <w:rFonts w:eastAsia="Times New Roman" w:cstheme="minorHAnsi"/>
          <w:b/>
          <w:bCs/>
          <w:sz w:val="20"/>
          <w:szCs w:val="20"/>
          <w:lang w:val="en-GB" w:eastAsia="de-CH"/>
        </w:rPr>
      </w:pPr>
      <w:r w:rsidRPr="009E7A2E">
        <w:rPr>
          <w:rFonts w:eastAsia="Times New Roman" w:cstheme="minorHAnsi"/>
          <w:b/>
          <w:bCs/>
          <w:lang w:val="en-GB" w:eastAsia="de-CH"/>
        </w:rPr>
        <w:t>Title</w:t>
      </w:r>
      <w:r w:rsidR="00D63D93">
        <w:rPr>
          <w:rFonts w:eastAsia="Times New Roman" w:cstheme="minorHAnsi"/>
          <w:lang w:val="en-GB" w:eastAsia="de-CH"/>
        </w:rPr>
        <w:t xml:space="preserve"> </w:t>
      </w:r>
    </w:p>
    <w:p w14:paraId="58046858" w14:textId="3962F2A8" w:rsidR="00213512" w:rsidRDefault="00F57752" w:rsidP="00213512">
      <w:pPr>
        <w:spacing w:after="0" w:line="240" w:lineRule="auto"/>
        <w:rPr>
          <w:rFonts w:eastAsia="Times New Roman" w:cstheme="minorHAnsi"/>
          <w:b/>
          <w:bCs/>
          <w:lang w:val="en-GB" w:eastAsia="de-CH"/>
        </w:rPr>
      </w:pPr>
      <w:r w:rsidRPr="00F57752">
        <w:rPr>
          <w:rFonts w:eastAsia="Times New Roman" w:cstheme="minorHAnsi"/>
          <w:bCs/>
          <w:lang w:val="en-GB" w:eastAsia="de-CH"/>
        </w:rPr>
        <w:t xml:space="preserve">Hidden Interdependencies: </w:t>
      </w:r>
      <w:r w:rsidR="00080A90">
        <w:rPr>
          <w:rFonts w:eastAsia="Times New Roman" w:cstheme="minorHAnsi"/>
          <w:bCs/>
          <w:lang w:val="en-GB" w:eastAsia="de-CH"/>
        </w:rPr>
        <w:t xml:space="preserve">Why </w:t>
      </w:r>
      <w:r w:rsidRPr="00F57752">
        <w:rPr>
          <w:rFonts w:eastAsia="Times New Roman" w:cstheme="minorHAnsi"/>
          <w:bCs/>
          <w:lang w:val="en-GB" w:eastAsia="de-CH"/>
        </w:rPr>
        <w:t xml:space="preserve">Links between Contexts, Formats, and Effects </w:t>
      </w:r>
      <w:r w:rsidR="00080A90">
        <w:rPr>
          <w:rFonts w:eastAsia="Times New Roman" w:cstheme="minorHAnsi"/>
          <w:bCs/>
          <w:lang w:val="en-GB" w:eastAsia="de-CH"/>
        </w:rPr>
        <w:t xml:space="preserve">Matter for the Quality of Transdisciplinary Research </w:t>
      </w:r>
    </w:p>
    <w:p w14:paraId="78123952" w14:textId="77777777" w:rsidR="00D63D93" w:rsidRDefault="00D63D93" w:rsidP="00213512">
      <w:pPr>
        <w:spacing w:after="0" w:line="240" w:lineRule="auto"/>
        <w:rPr>
          <w:rFonts w:eastAsia="Times New Roman" w:cstheme="minorHAnsi"/>
          <w:b/>
          <w:bCs/>
          <w:lang w:val="en-GB" w:eastAsia="de-CH"/>
        </w:rPr>
      </w:pPr>
    </w:p>
    <w:p w14:paraId="4B64818A" w14:textId="77777777" w:rsidR="00387AB4" w:rsidRDefault="00387AB4" w:rsidP="00387AB4">
      <w:pPr>
        <w:spacing w:after="0" w:line="240" w:lineRule="auto"/>
        <w:rPr>
          <w:rFonts w:eastAsia="Times New Roman" w:cstheme="minorHAnsi"/>
          <w:lang w:val="en-GB" w:eastAsia="de-CH"/>
        </w:rPr>
      </w:pPr>
      <w:r>
        <w:rPr>
          <w:rFonts w:eastAsia="Times New Roman" w:cstheme="minorHAnsi"/>
          <w:b/>
          <w:bCs/>
          <w:lang w:val="en-GB" w:eastAsia="de-CH"/>
        </w:rPr>
        <w:t>Authors</w:t>
      </w:r>
      <w:r>
        <w:rPr>
          <w:rFonts w:eastAsia="Times New Roman" w:cstheme="minorHAnsi"/>
          <w:lang w:val="en-GB" w:eastAsia="de-CH"/>
        </w:rPr>
        <w:t xml:space="preserve"> </w:t>
      </w:r>
    </w:p>
    <w:p w14:paraId="69CA5FBA" w14:textId="2DBD23BB" w:rsidR="00387AB4" w:rsidRPr="00F57752" w:rsidRDefault="00387AB4" w:rsidP="00387AB4">
      <w:pPr>
        <w:spacing w:after="0" w:line="240" w:lineRule="auto"/>
        <w:rPr>
          <w:rFonts w:eastAsia="Times New Roman" w:cstheme="minorHAnsi"/>
          <w:sz w:val="20"/>
          <w:szCs w:val="20"/>
          <w:lang w:val="en-GB" w:eastAsia="de-CH"/>
        </w:rPr>
      </w:pPr>
      <w:r>
        <w:rPr>
          <w:rFonts w:eastAsia="Times New Roman" w:cstheme="minorHAnsi"/>
          <w:sz w:val="20"/>
          <w:szCs w:val="20"/>
          <w:lang w:val="en-GB" w:eastAsia="de-CH"/>
        </w:rPr>
        <w:t xml:space="preserve">Alexandra Lux, Institute for Social-Ecological Research (ISOE), Germany; </w:t>
      </w:r>
      <w:r w:rsidRPr="00F57752">
        <w:rPr>
          <w:rFonts w:eastAsia="Times New Roman" w:cstheme="minorHAnsi"/>
          <w:sz w:val="20"/>
          <w:szCs w:val="20"/>
          <w:lang w:val="en-GB" w:eastAsia="de-CH"/>
        </w:rPr>
        <w:t xml:space="preserve">Michael Kreß-Ludwig, </w:t>
      </w:r>
      <w:r>
        <w:rPr>
          <w:rFonts w:eastAsia="Times New Roman" w:cstheme="minorHAnsi"/>
          <w:sz w:val="20"/>
          <w:szCs w:val="20"/>
          <w:lang w:val="en-GB" w:eastAsia="de-CH"/>
        </w:rPr>
        <w:t xml:space="preserve">Institute for Social-Ecological Research (ISOE), Germany; </w:t>
      </w:r>
      <w:r w:rsidRPr="00F57752">
        <w:rPr>
          <w:rFonts w:eastAsia="Times New Roman" w:cstheme="minorHAnsi"/>
          <w:sz w:val="20"/>
          <w:szCs w:val="20"/>
          <w:lang w:val="en-GB" w:eastAsia="de-CH"/>
        </w:rPr>
        <w:t>Daniel Lang, Karlsruhe Institute of Technology (KIT), Germany</w:t>
      </w:r>
      <w:r>
        <w:rPr>
          <w:rFonts w:eastAsia="Times New Roman" w:cstheme="minorHAnsi"/>
          <w:sz w:val="20"/>
          <w:szCs w:val="20"/>
          <w:lang w:val="en-GB" w:eastAsia="de-CH"/>
        </w:rPr>
        <w:t xml:space="preserve">, </w:t>
      </w:r>
      <w:r w:rsidRPr="00F57752">
        <w:rPr>
          <w:rFonts w:eastAsia="Times New Roman" w:cstheme="minorHAnsi"/>
          <w:sz w:val="20"/>
          <w:szCs w:val="20"/>
          <w:lang w:val="en-GB" w:eastAsia="de-CH"/>
        </w:rPr>
        <w:t xml:space="preserve">Melanie Mbah, </w:t>
      </w:r>
      <w:proofErr w:type="spellStart"/>
      <w:r w:rsidRPr="00F57752">
        <w:rPr>
          <w:rFonts w:cstheme="minorHAnsi"/>
          <w:lang w:val="en-GB"/>
        </w:rPr>
        <w:t>Öko-Institut</w:t>
      </w:r>
      <w:proofErr w:type="spellEnd"/>
      <w:r w:rsidRPr="00F57752">
        <w:rPr>
          <w:rFonts w:cstheme="minorHAnsi"/>
          <w:lang w:val="en-GB"/>
        </w:rPr>
        <w:t xml:space="preserve"> </w:t>
      </w:r>
      <w:proofErr w:type="spellStart"/>
      <w:r w:rsidRPr="00F57752">
        <w:rPr>
          <w:rFonts w:cstheme="minorHAnsi"/>
          <w:lang w:val="en-GB"/>
        </w:rPr>
        <w:t>e.V.</w:t>
      </w:r>
      <w:proofErr w:type="spellEnd"/>
      <w:r w:rsidRPr="00F57752">
        <w:rPr>
          <w:rFonts w:cstheme="minorHAnsi"/>
          <w:lang w:val="en-GB"/>
        </w:rPr>
        <w:t>, Germany</w:t>
      </w:r>
      <w:r>
        <w:rPr>
          <w:rFonts w:eastAsia="Times New Roman" w:cstheme="minorHAnsi"/>
          <w:sz w:val="20"/>
          <w:szCs w:val="20"/>
          <w:lang w:val="en-GB" w:eastAsia="de-CH"/>
        </w:rPr>
        <w:t xml:space="preserve">; </w:t>
      </w:r>
      <w:r w:rsidRPr="00F57752">
        <w:rPr>
          <w:rFonts w:eastAsia="Times New Roman" w:cstheme="minorHAnsi"/>
          <w:sz w:val="20"/>
          <w:szCs w:val="20"/>
          <w:lang w:val="en-GB" w:eastAsia="de-CH"/>
        </w:rPr>
        <w:t xml:space="preserve">Martina Schäfer, </w:t>
      </w:r>
      <w:proofErr w:type="spellStart"/>
      <w:r w:rsidRPr="00F57752">
        <w:rPr>
          <w:rFonts w:cstheme="minorHAnsi"/>
          <w:lang w:val="en-GB"/>
        </w:rPr>
        <w:t>Center</w:t>
      </w:r>
      <w:proofErr w:type="spellEnd"/>
      <w:r w:rsidRPr="00F57752">
        <w:rPr>
          <w:rFonts w:cstheme="minorHAnsi"/>
          <w:lang w:val="en-GB"/>
        </w:rPr>
        <w:t xml:space="preserve"> for Technology and Society (ZTG), </w:t>
      </w:r>
      <w:proofErr w:type="spellStart"/>
      <w:r w:rsidRPr="00F57752">
        <w:rPr>
          <w:rFonts w:cstheme="minorHAnsi"/>
          <w:lang w:val="en-GB"/>
        </w:rPr>
        <w:t>Technische</w:t>
      </w:r>
      <w:proofErr w:type="spellEnd"/>
      <w:r w:rsidRPr="00F57752">
        <w:rPr>
          <w:rFonts w:cstheme="minorHAnsi"/>
          <w:lang w:val="en-GB"/>
        </w:rPr>
        <w:t xml:space="preserve"> Universität Berlin, Germany</w:t>
      </w:r>
    </w:p>
    <w:p w14:paraId="7833124D" w14:textId="77777777" w:rsidR="00213512" w:rsidRDefault="00213512" w:rsidP="00213512">
      <w:pPr>
        <w:spacing w:after="0" w:line="240" w:lineRule="auto"/>
        <w:rPr>
          <w:rFonts w:eastAsia="Times New Roman" w:cstheme="minorHAnsi"/>
          <w:sz w:val="20"/>
          <w:szCs w:val="20"/>
          <w:lang w:val="en-GB" w:eastAsia="de-CH"/>
        </w:rPr>
      </w:pPr>
    </w:p>
    <w:p w14:paraId="721536A1" w14:textId="7ABE25E4" w:rsidR="00D63D93" w:rsidRDefault="00387AB4" w:rsidP="00213512">
      <w:pPr>
        <w:spacing w:after="0" w:line="240" w:lineRule="auto"/>
        <w:rPr>
          <w:rFonts w:eastAsia="Times New Roman" w:cstheme="minorHAnsi"/>
          <w:b/>
          <w:bCs/>
          <w:lang w:val="en-GB" w:eastAsia="de-CH"/>
        </w:rPr>
      </w:pPr>
      <w:r>
        <w:rPr>
          <w:rFonts w:eastAsia="Times New Roman" w:cstheme="minorHAnsi"/>
          <w:b/>
          <w:bCs/>
          <w:lang w:val="en-GB" w:eastAsia="de-CH"/>
        </w:rPr>
        <w:t>Abstract</w:t>
      </w:r>
    </w:p>
    <w:p w14:paraId="26AB6531" w14:textId="0121B28A" w:rsidR="00F57752" w:rsidRPr="00F57752" w:rsidRDefault="00F57752" w:rsidP="00F57752">
      <w:pPr>
        <w:spacing w:line="240" w:lineRule="auto"/>
        <w:rPr>
          <w:rFonts w:eastAsia="Times New Roman" w:cstheme="minorHAnsi"/>
          <w:sz w:val="20"/>
          <w:szCs w:val="20"/>
          <w:lang w:val="en-GB" w:eastAsia="de-CH"/>
        </w:rPr>
      </w:pPr>
      <w:r w:rsidRPr="00F57752">
        <w:rPr>
          <w:rFonts w:eastAsia="Times New Roman" w:cstheme="minorHAnsi"/>
          <w:sz w:val="20"/>
          <w:szCs w:val="20"/>
          <w:lang w:val="en-GB" w:eastAsia="de-CH"/>
        </w:rPr>
        <w:t xml:space="preserve">Transdisciplinary research (TDR) is widely regarded as a key mode for </w:t>
      </w:r>
      <w:r w:rsidR="000766DA">
        <w:rPr>
          <w:rFonts w:eastAsia="Times New Roman" w:cstheme="minorHAnsi"/>
          <w:sz w:val="20"/>
          <w:szCs w:val="20"/>
          <w:lang w:val="en-GB" w:eastAsia="de-CH"/>
        </w:rPr>
        <w:t>connecting science and society and generating integrated, transformative knowledge</w:t>
      </w:r>
      <w:r w:rsidRPr="00F57752">
        <w:rPr>
          <w:rFonts w:eastAsia="Times New Roman" w:cstheme="minorHAnsi"/>
          <w:sz w:val="20"/>
          <w:szCs w:val="20"/>
          <w:lang w:val="en-GB" w:eastAsia="de-CH"/>
        </w:rPr>
        <w:t xml:space="preserve">. </w:t>
      </w:r>
      <w:r w:rsidR="00BE6BE8">
        <w:rPr>
          <w:rFonts w:eastAsia="Times New Roman" w:cstheme="minorHAnsi"/>
          <w:sz w:val="20"/>
          <w:szCs w:val="20"/>
          <w:lang w:val="en-GB" w:eastAsia="de-CH"/>
        </w:rPr>
        <w:t xml:space="preserve">While prior work has </w:t>
      </w:r>
      <w:r w:rsidR="00676E1D">
        <w:rPr>
          <w:rFonts w:eastAsia="Times New Roman" w:cstheme="minorHAnsi"/>
          <w:sz w:val="20"/>
          <w:szCs w:val="20"/>
          <w:lang w:val="en-GB" w:eastAsia="de-CH"/>
        </w:rPr>
        <w:t xml:space="preserve">often </w:t>
      </w:r>
      <w:r w:rsidR="00BE6BE8">
        <w:rPr>
          <w:rFonts w:eastAsia="Times New Roman" w:cstheme="minorHAnsi"/>
          <w:sz w:val="20"/>
          <w:szCs w:val="20"/>
          <w:lang w:val="en-GB" w:eastAsia="de-CH"/>
        </w:rPr>
        <w:t xml:space="preserve">examined the contextual, methodological, and impact-related </w:t>
      </w:r>
      <w:r w:rsidR="002D38E5">
        <w:rPr>
          <w:rFonts w:eastAsia="Times New Roman" w:cstheme="minorHAnsi"/>
          <w:sz w:val="20"/>
          <w:szCs w:val="20"/>
          <w:lang w:val="en-GB" w:eastAsia="de-CH"/>
        </w:rPr>
        <w:t>aspects</w:t>
      </w:r>
      <w:r w:rsidR="00BE6BE8">
        <w:rPr>
          <w:rFonts w:eastAsia="Times New Roman" w:cstheme="minorHAnsi"/>
          <w:sz w:val="20"/>
          <w:szCs w:val="20"/>
          <w:lang w:val="en-GB" w:eastAsia="de-CH"/>
        </w:rPr>
        <w:t xml:space="preserve"> of TDR quality separately, this contribution argues that it is their interdependence </w:t>
      </w:r>
      <w:r w:rsidR="00387AB4">
        <w:rPr>
          <w:rFonts w:eastAsia="Times New Roman" w:cstheme="minorHAnsi"/>
          <w:sz w:val="20"/>
          <w:szCs w:val="20"/>
          <w:lang w:val="en-GB" w:eastAsia="de-CH"/>
        </w:rPr>
        <w:t>t</w:t>
      </w:r>
      <w:r w:rsidR="00BE6BE8">
        <w:rPr>
          <w:rFonts w:eastAsia="Times New Roman" w:cstheme="minorHAnsi"/>
          <w:sz w:val="20"/>
          <w:szCs w:val="20"/>
          <w:lang w:val="en-GB" w:eastAsia="de-CH"/>
        </w:rPr>
        <w:t xml:space="preserve">hat determines whether </w:t>
      </w:r>
      <w:r w:rsidRPr="00F57752">
        <w:rPr>
          <w:rFonts w:eastAsia="Times New Roman" w:cstheme="minorHAnsi"/>
          <w:sz w:val="20"/>
          <w:szCs w:val="20"/>
          <w:lang w:val="en-GB" w:eastAsia="de-CH"/>
        </w:rPr>
        <w:t xml:space="preserve">TDR </w:t>
      </w:r>
      <w:r w:rsidR="00BE6BE8">
        <w:rPr>
          <w:rFonts w:eastAsia="Times New Roman" w:cstheme="minorHAnsi"/>
          <w:sz w:val="20"/>
          <w:szCs w:val="20"/>
          <w:lang w:val="en-GB" w:eastAsia="de-CH"/>
        </w:rPr>
        <w:t xml:space="preserve">fulfils its transformative </w:t>
      </w:r>
      <w:r w:rsidRPr="00F57752">
        <w:rPr>
          <w:rFonts w:eastAsia="Times New Roman" w:cstheme="minorHAnsi"/>
          <w:sz w:val="20"/>
          <w:szCs w:val="20"/>
          <w:lang w:val="en-GB" w:eastAsia="de-CH"/>
        </w:rPr>
        <w:t>ambitions</w:t>
      </w:r>
      <w:r w:rsidR="00BE6BE8">
        <w:rPr>
          <w:rFonts w:eastAsia="Times New Roman" w:cstheme="minorHAnsi"/>
          <w:sz w:val="20"/>
          <w:szCs w:val="20"/>
          <w:lang w:val="en-GB" w:eastAsia="de-CH"/>
        </w:rPr>
        <w:t>. Many projects fall short of these ambitions</w:t>
      </w:r>
      <w:r w:rsidRPr="00F57752">
        <w:rPr>
          <w:rFonts w:eastAsia="Times New Roman" w:cstheme="minorHAnsi"/>
          <w:sz w:val="20"/>
          <w:szCs w:val="20"/>
          <w:lang w:val="en-GB" w:eastAsia="de-CH"/>
        </w:rPr>
        <w:t xml:space="preserve">, not due to flawed intentions, but because of a subtle and structurally encouraged phenomenon we call </w:t>
      </w:r>
      <w:r w:rsidRPr="00F57752">
        <w:rPr>
          <w:rFonts w:eastAsia="Times New Roman" w:cstheme="minorHAnsi"/>
          <w:i/>
          <w:iCs/>
          <w:sz w:val="20"/>
          <w:szCs w:val="20"/>
          <w:lang w:val="en-GB" w:eastAsia="de-CH"/>
        </w:rPr>
        <w:t>process drift</w:t>
      </w:r>
      <w:r w:rsidRPr="00F57752">
        <w:rPr>
          <w:rFonts w:eastAsia="Times New Roman" w:cstheme="minorHAnsi"/>
          <w:sz w:val="20"/>
          <w:szCs w:val="20"/>
          <w:lang w:val="en-GB" w:eastAsia="de-CH"/>
        </w:rPr>
        <w:t>.</w:t>
      </w:r>
    </w:p>
    <w:p w14:paraId="1855BF21" w14:textId="3DFDB300" w:rsidR="00F57752" w:rsidRPr="00F57752" w:rsidRDefault="00CD3F95" w:rsidP="00F57752">
      <w:pPr>
        <w:spacing w:line="240" w:lineRule="auto"/>
        <w:rPr>
          <w:rFonts w:eastAsia="Times New Roman" w:cstheme="minorHAnsi"/>
          <w:sz w:val="20"/>
          <w:szCs w:val="20"/>
          <w:lang w:val="en-GB" w:eastAsia="de-CH"/>
        </w:rPr>
      </w:pPr>
      <w:r>
        <w:rPr>
          <w:rFonts w:eastAsia="Times New Roman" w:cstheme="minorHAnsi"/>
          <w:sz w:val="20"/>
          <w:szCs w:val="20"/>
          <w:lang w:val="en-GB" w:eastAsia="de-CH"/>
        </w:rPr>
        <w:t xml:space="preserve">This contribution reflects </w:t>
      </w:r>
      <w:r w:rsidR="00093BD1">
        <w:rPr>
          <w:rFonts w:eastAsia="Times New Roman" w:cstheme="minorHAnsi"/>
          <w:sz w:val="20"/>
          <w:szCs w:val="20"/>
          <w:lang w:val="en-GB" w:eastAsia="de-CH"/>
        </w:rPr>
        <w:t xml:space="preserve">across </w:t>
      </w:r>
      <w:r w:rsidR="00E8309B" w:rsidRPr="00E8309B">
        <w:rPr>
          <w:rFonts w:eastAsia="Times New Roman" w:cstheme="minorHAnsi"/>
          <w:sz w:val="20"/>
          <w:szCs w:val="20"/>
          <w:lang w:val="en-GB" w:eastAsia="de-CH"/>
        </w:rPr>
        <w:t>five years of empirical and conceptual work in the German research platform tdAcademy</w:t>
      </w:r>
      <w:r>
        <w:rPr>
          <w:rFonts w:eastAsia="Times New Roman" w:cstheme="minorHAnsi"/>
          <w:sz w:val="20"/>
          <w:szCs w:val="20"/>
          <w:lang w:val="en-GB" w:eastAsia="de-CH"/>
        </w:rPr>
        <w:t xml:space="preserve">, which examined </w:t>
      </w:r>
      <w:r w:rsidR="00093BD1" w:rsidRPr="009F27BC">
        <w:rPr>
          <w:rFonts w:eastAsia="Times New Roman" w:cstheme="minorHAnsi"/>
          <w:sz w:val="20"/>
          <w:szCs w:val="20"/>
          <w:lang w:val="en-GB" w:eastAsia="de-CH"/>
        </w:rPr>
        <w:t>scientific and societal effects, innovative formats</w:t>
      </w:r>
      <w:r>
        <w:rPr>
          <w:rFonts w:eastAsia="Times New Roman" w:cstheme="minorHAnsi"/>
          <w:sz w:val="20"/>
          <w:szCs w:val="20"/>
          <w:lang w:val="en-GB" w:eastAsia="de-CH"/>
        </w:rPr>
        <w:t xml:space="preserve"> and methods</w:t>
      </w:r>
      <w:r w:rsidR="00093BD1" w:rsidRPr="009F27BC">
        <w:rPr>
          <w:rFonts w:eastAsia="Times New Roman" w:cstheme="minorHAnsi"/>
          <w:sz w:val="20"/>
          <w:szCs w:val="20"/>
          <w:lang w:val="en-GB" w:eastAsia="de-CH"/>
        </w:rPr>
        <w:t xml:space="preserve">, and contextual </w:t>
      </w:r>
      <w:r>
        <w:rPr>
          <w:rFonts w:eastAsia="Times New Roman" w:cstheme="minorHAnsi"/>
          <w:sz w:val="20"/>
          <w:szCs w:val="20"/>
          <w:lang w:val="en-GB" w:eastAsia="de-CH"/>
        </w:rPr>
        <w:t xml:space="preserve">dependencies separately before turning to selected relations between them. Building on </w:t>
      </w:r>
      <w:r w:rsidR="002D38E5">
        <w:rPr>
          <w:rFonts w:eastAsia="Times New Roman" w:cstheme="minorHAnsi"/>
          <w:sz w:val="20"/>
          <w:szCs w:val="20"/>
          <w:lang w:val="en-GB" w:eastAsia="de-CH"/>
        </w:rPr>
        <w:t>these</w:t>
      </w:r>
      <w:r>
        <w:rPr>
          <w:rFonts w:eastAsia="Times New Roman" w:cstheme="minorHAnsi"/>
          <w:sz w:val="20"/>
          <w:szCs w:val="20"/>
          <w:lang w:val="en-GB" w:eastAsia="de-CH"/>
        </w:rPr>
        <w:t xml:space="preserve"> insights, we </w:t>
      </w:r>
      <w:r w:rsidR="00093BD1">
        <w:rPr>
          <w:rFonts w:eastAsia="Times New Roman" w:cstheme="minorHAnsi"/>
          <w:sz w:val="20"/>
          <w:szCs w:val="20"/>
          <w:lang w:val="en-GB" w:eastAsia="de-CH"/>
        </w:rPr>
        <w:t>offer</w:t>
      </w:r>
      <w:r>
        <w:rPr>
          <w:rFonts w:eastAsia="Times New Roman" w:cstheme="minorHAnsi"/>
          <w:sz w:val="20"/>
          <w:szCs w:val="20"/>
          <w:lang w:val="en-GB" w:eastAsia="de-CH"/>
        </w:rPr>
        <w:t xml:space="preserve"> a conceptual argument that foregrounds </w:t>
      </w:r>
      <w:r w:rsidR="00E8309B" w:rsidRPr="00E8309B">
        <w:rPr>
          <w:rFonts w:eastAsia="Times New Roman" w:cstheme="minorHAnsi"/>
          <w:sz w:val="20"/>
          <w:szCs w:val="20"/>
          <w:lang w:val="en-GB" w:eastAsia="de-CH"/>
        </w:rPr>
        <w:t>process drift as a quality challenge with direct consequences for whether TDR generates transformative change or merely produces a set of well-intentioned but disconnected activities that rarely accumulate into lasting impact.</w:t>
      </w:r>
      <w:r w:rsidR="00E8309B">
        <w:rPr>
          <w:rFonts w:eastAsia="Times New Roman" w:cstheme="minorHAnsi"/>
          <w:sz w:val="20"/>
          <w:szCs w:val="20"/>
          <w:lang w:val="en-GB" w:eastAsia="de-CH"/>
        </w:rPr>
        <w:t xml:space="preserve"> </w:t>
      </w:r>
      <w:r w:rsidR="00F57752" w:rsidRPr="00F57752">
        <w:rPr>
          <w:rFonts w:eastAsia="Times New Roman" w:cstheme="minorHAnsi"/>
          <w:sz w:val="20"/>
          <w:szCs w:val="20"/>
          <w:lang w:val="en-GB" w:eastAsia="de-CH"/>
        </w:rPr>
        <w:t xml:space="preserve">We define drift as the gradual, largely unnoticed departure from a project's transformative intentions — the cumulative result of situationally rational decisions </w:t>
      </w:r>
      <w:r w:rsidR="00D05A21">
        <w:rPr>
          <w:rFonts w:eastAsia="Times New Roman" w:cstheme="minorHAnsi"/>
          <w:sz w:val="20"/>
          <w:szCs w:val="20"/>
          <w:lang w:val="en-GB" w:eastAsia="de-CH"/>
        </w:rPr>
        <w:t xml:space="preserve">whose </w:t>
      </w:r>
      <w:r w:rsidR="00F57752" w:rsidRPr="00F57752">
        <w:rPr>
          <w:rFonts w:eastAsia="Times New Roman" w:cstheme="minorHAnsi"/>
          <w:sz w:val="20"/>
          <w:szCs w:val="20"/>
          <w:lang w:val="en-GB" w:eastAsia="de-CH"/>
        </w:rPr>
        <w:t>combined effect on research direction and outcomes</w:t>
      </w:r>
      <w:r w:rsidR="00D05A21">
        <w:rPr>
          <w:rFonts w:eastAsia="Times New Roman" w:cstheme="minorHAnsi"/>
          <w:sz w:val="20"/>
          <w:szCs w:val="20"/>
          <w:lang w:val="en-GB" w:eastAsia="de-CH"/>
        </w:rPr>
        <w:t xml:space="preserve"> appears to go </w:t>
      </w:r>
      <w:proofErr w:type="spellStart"/>
      <w:r w:rsidR="00D05A21">
        <w:rPr>
          <w:rFonts w:eastAsia="Times New Roman" w:cstheme="minorHAnsi"/>
          <w:sz w:val="20"/>
          <w:szCs w:val="20"/>
          <w:lang w:val="en-GB" w:eastAsia="de-CH"/>
        </w:rPr>
        <w:t>unreflected</w:t>
      </w:r>
      <w:proofErr w:type="spellEnd"/>
      <w:r w:rsidR="00F57752" w:rsidRPr="00F57752">
        <w:rPr>
          <w:rFonts w:eastAsia="Times New Roman" w:cstheme="minorHAnsi"/>
          <w:sz w:val="20"/>
          <w:szCs w:val="20"/>
          <w:lang w:val="en-GB" w:eastAsia="de-CH"/>
        </w:rPr>
        <w:t>.</w:t>
      </w:r>
    </w:p>
    <w:p w14:paraId="2C92138E" w14:textId="712BC2DD" w:rsidR="00F57752" w:rsidRPr="00F57752" w:rsidRDefault="00F57752" w:rsidP="00F57752">
      <w:pPr>
        <w:spacing w:line="240" w:lineRule="auto"/>
        <w:rPr>
          <w:rFonts w:eastAsia="Times New Roman" w:cstheme="minorHAnsi"/>
          <w:sz w:val="20"/>
          <w:szCs w:val="20"/>
          <w:lang w:val="en-GB" w:eastAsia="de-CH"/>
        </w:rPr>
      </w:pPr>
      <w:r w:rsidRPr="00F57752">
        <w:rPr>
          <w:rFonts w:eastAsia="Times New Roman" w:cstheme="minorHAnsi"/>
          <w:sz w:val="20"/>
          <w:szCs w:val="20"/>
          <w:lang w:val="en-GB" w:eastAsia="de-CH"/>
        </w:rPr>
        <w:t xml:space="preserve">Our </w:t>
      </w:r>
      <w:r w:rsidR="00E8309B">
        <w:rPr>
          <w:rFonts w:eastAsia="Times New Roman" w:cstheme="minorHAnsi"/>
          <w:sz w:val="20"/>
          <w:szCs w:val="20"/>
          <w:lang w:val="en-GB" w:eastAsia="de-CH"/>
        </w:rPr>
        <w:t>argument</w:t>
      </w:r>
      <w:r w:rsidRPr="00F57752">
        <w:rPr>
          <w:rFonts w:eastAsia="Times New Roman" w:cstheme="minorHAnsi"/>
          <w:sz w:val="20"/>
          <w:szCs w:val="20"/>
          <w:lang w:val="en-GB" w:eastAsia="de-CH"/>
        </w:rPr>
        <w:t xml:space="preserve"> centres on a triangle of three interdependent dimensions: (1) </w:t>
      </w:r>
      <w:r w:rsidRPr="00F57752">
        <w:rPr>
          <w:rFonts w:eastAsia="Times New Roman" w:cstheme="minorHAnsi"/>
          <w:i/>
          <w:iCs/>
          <w:sz w:val="20"/>
          <w:szCs w:val="20"/>
          <w:lang w:val="en-GB" w:eastAsia="de-CH"/>
        </w:rPr>
        <w:t>contexts</w:t>
      </w:r>
      <w:r w:rsidRPr="00F57752">
        <w:rPr>
          <w:rFonts w:eastAsia="Times New Roman" w:cstheme="minorHAnsi"/>
          <w:sz w:val="20"/>
          <w:szCs w:val="20"/>
          <w:lang w:val="en-GB" w:eastAsia="de-CH"/>
        </w:rPr>
        <w:t xml:space="preserve"> — dynamic configurations of external, internal, and temporal-spatial conditions; (2) </w:t>
      </w:r>
      <w:r w:rsidRPr="00F57752">
        <w:rPr>
          <w:rFonts w:eastAsia="Times New Roman" w:cstheme="minorHAnsi"/>
          <w:i/>
          <w:iCs/>
          <w:sz w:val="20"/>
          <w:szCs w:val="20"/>
          <w:lang w:val="en-GB" w:eastAsia="de-CH"/>
        </w:rPr>
        <w:t>formats and methods</w:t>
      </w:r>
      <w:r w:rsidRPr="00F57752">
        <w:rPr>
          <w:rFonts w:eastAsia="Times New Roman" w:cstheme="minorHAnsi"/>
          <w:sz w:val="20"/>
          <w:szCs w:val="20"/>
          <w:lang w:val="en-GB" w:eastAsia="de-CH"/>
        </w:rPr>
        <w:t xml:space="preserve"> — the structured arrangements through which collaboration and knowledge co-production are enacted; and (3) </w:t>
      </w:r>
      <w:r w:rsidRPr="00F57752">
        <w:rPr>
          <w:rFonts w:eastAsia="Times New Roman" w:cstheme="minorHAnsi"/>
          <w:i/>
          <w:iCs/>
          <w:sz w:val="20"/>
          <w:szCs w:val="20"/>
          <w:lang w:val="en-GB" w:eastAsia="de-CH"/>
        </w:rPr>
        <w:t xml:space="preserve">intended </w:t>
      </w:r>
      <w:r w:rsidR="00E8309B">
        <w:rPr>
          <w:rFonts w:eastAsia="Times New Roman" w:cstheme="minorHAnsi"/>
          <w:i/>
          <w:iCs/>
          <w:sz w:val="20"/>
          <w:szCs w:val="20"/>
          <w:lang w:val="en-GB" w:eastAsia="de-CH"/>
        </w:rPr>
        <w:t>societal</w:t>
      </w:r>
      <w:r w:rsidRPr="00F57752">
        <w:rPr>
          <w:rFonts w:eastAsia="Times New Roman" w:cstheme="minorHAnsi"/>
          <w:i/>
          <w:iCs/>
          <w:sz w:val="20"/>
          <w:szCs w:val="20"/>
          <w:lang w:val="en-GB" w:eastAsia="de-CH"/>
        </w:rPr>
        <w:t xml:space="preserve"> and </w:t>
      </w:r>
      <w:r w:rsidR="00E8309B">
        <w:rPr>
          <w:rFonts w:eastAsia="Times New Roman" w:cstheme="minorHAnsi"/>
          <w:i/>
          <w:iCs/>
          <w:sz w:val="20"/>
          <w:szCs w:val="20"/>
          <w:lang w:val="en-GB" w:eastAsia="de-CH"/>
        </w:rPr>
        <w:t xml:space="preserve">scientific </w:t>
      </w:r>
      <w:r w:rsidRPr="00F57752">
        <w:rPr>
          <w:rFonts w:eastAsia="Times New Roman" w:cstheme="minorHAnsi"/>
          <w:i/>
          <w:iCs/>
          <w:sz w:val="20"/>
          <w:szCs w:val="20"/>
          <w:lang w:val="en-GB" w:eastAsia="de-CH"/>
        </w:rPr>
        <w:t>effects</w:t>
      </w:r>
      <w:r w:rsidRPr="00F57752">
        <w:rPr>
          <w:rFonts w:eastAsia="Times New Roman" w:cstheme="minorHAnsi"/>
          <w:sz w:val="20"/>
          <w:szCs w:val="20"/>
          <w:lang w:val="en-GB" w:eastAsia="de-CH"/>
        </w:rPr>
        <w:t xml:space="preserve">, including the project's contribution to broader systemic change. When the alignment across these three dimensions is not actively and continuously reflected upon, </w:t>
      </w:r>
      <w:r w:rsidR="00F7175D">
        <w:rPr>
          <w:rFonts w:eastAsia="Times New Roman" w:cstheme="minorHAnsi"/>
          <w:sz w:val="20"/>
          <w:szCs w:val="20"/>
          <w:lang w:val="en-GB" w:eastAsia="de-CH"/>
        </w:rPr>
        <w:t xml:space="preserve">there is a risk of </w:t>
      </w:r>
      <w:r w:rsidRPr="00F57752">
        <w:rPr>
          <w:rFonts w:eastAsia="Times New Roman" w:cstheme="minorHAnsi"/>
          <w:sz w:val="20"/>
          <w:szCs w:val="20"/>
          <w:lang w:val="en-GB" w:eastAsia="de-CH"/>
        </w:rPr>
        <w:t>drift occur</w:t>
      </w:r>
      <w:r w:rsidR="00BE6BE8">
        <w:rPr>
          <w:rFonts w:eastAsia="Times New Roman" w:cstheme="minorHAnsi"/>
          <w:sz w:val="20"/>
          <w:szCs w:val="20"/>
          <w:lang w:val="en-GB" w:eastAsia="de-CH"/>
        </w:rPr>
        <w:t>r</w:t>
      </w:r>
      <w:r w:rsidR="00F7175D">
        <w:rPr>
          <w:rFonts w:eastAsia="Times New Roman" w:cstheme="minorHAnsi"/>
          <w:sz w:val="20"/>
          <w:szCs w:val="20"/>
          <w:lang w:val="en-GB" w:eastAsia="de-CH"/>
        </w:rPr>
        <w:t>ing</w:t>
      </w:r>
      <w:r w:rsidRPr="00F57752">
        <w:rPr>
          <w:rFonts w:eastAsia="Times New Roman" w:cstheme="minorHAnsi"/>
          <w:sz w:val="20"/>
          <w:szCs w:val="20"/>
          <w:lang w:val="en-GB" w:eastAsia="de-CH"/>
        </w:rPr>
        <w:t xml:space="preserve"> — </w:t>
      </w:r>
      <w:r w:rsidR="00E8309B" w:rsidRPr="00E8309B">
        <w:rPr>
          <w:rFonts w:eastAsia="Times New Roman" w:cstheme="minorHAnsi"/>
          <w:sz w:val="20"/>
          <w:szCs w:val="20"/>
          <w:lang w:val="en-GB" w:eastAsia="de-CH"/>
        </w:rPr>
        <w:t xml:space="preserve">and TDR </w:t>
      </w:r>
      <w:r w:rsidR="00D05A21">
        <w:rPr>
          <w:rFonts w:eastAsia="Times New Roman" w:cstheme="minorHAnsi"/>
          <w:sz w:val="20"/>
          <w:szCs w:val="20"/>
          <w:lang w:val="en-GB" w:eastAsia="de-CH"/>
        </w:rPr>
        <w:t xml:space="preserve">gradually drifts away from </w:t>
      </w:r>
      <w:r w:rsidR="00E8309B" w:rsidRPr="00E8309B">
        <w:rPr>
          <w:rFonts w:eastAsia="Times New Roman" w:cstheme="minorHAnsi"/>
          <w:sz w:val="20"/>
          <w:szCs w:val="20"/>
          <w:lang w:val="en-GB" w:eastAsia="de-CH"/>
        </w:rPr>
        <w:t>its transformative horizon, leaving behind a trail of activity without traction.</w:t>
      </w:r>
    </w:p>
    <w:p w14:paraId="093B4521" w14:textId="053044E2" w:rsidR="00F57752" w:rsidRPr="00F57752" w:rsidRDefault="00F57752" w:rsidP="00F57752">
      <w:pPr>
        <w:spacing w:line="240" w:lineRule="auto"/>
        <w:rPr>
          <w:rFonts w:eastAsia="Times New Roman" w:cstheme="minorHAnsi"/>
          <w:sz w:val="20"/>
          <w:szCs w:val="20"/>
          <w:lang w:val="en-GB" w:eastAsia="de-CH"/>
        </w:rPr>
      </w:pPr>
      <w:r w:rsidRPr="00F57752">
        <w:rPr>
          <w:rFonts w:eastAsia="Times New Roman" w:cstheme="minorHAnsi"/>
          <w:sz w:val="20"/>
          <w:szCs w:val="20"/>
          <w:lang w:val="en-GB" w:eastAsia="de-CH"/>
        </w:rPr>
        <w:t>A particular challenge lies in the temporal structure of TDR effects: proximate effects such as networking</w:t>
      </w:r>
      <w:r w:rsidR="00F7175D">
        <w:rPr>
          <w:rFonts w:eastAsia="Times New Roman" w:cstheme="minorHAnsi"/>
          <w:sz w:val="20"/>
          <w:szCs w:val="20"/>
          <w:lang w:val="en-GB" w:eastAsia="de-CH"/>
        </w:rPr>
        <w:t xml:space="preserve"> and </w:t>
      </w:r>
      <w:r w:rsidRPr="00F57752">
        <w:rPr>
          <w:rFonts w:eastAsia="Times New Roman" w:cstheme="minorHAnsi"/>
          <w:sz w:val="20"/>
          <w:szCs w:val="20"/>
          <w:lang w:val="en-GB" w:eastAsia="de-CH"/>
        </w:rPr>
        <w:t xml:space="preserve">short-term learning, </w:t>
      </w:r>
      <w:r w:rsidR="00F7175D">
        <w:rPr>
          <w:rFonts w:eastAsia="Times New Roman" w:cstheme="minorHAnsi"/>
          <w:sz w:val="20"/>
          <w:szCs w:val="20"/>
          <w:lang w:val="en-GB" w:eastAsia="de-CH"/>
        </w:rPr>
        <w:t xml:space="preserve">or dedicated </w:t>
      </w:r>
      <w:r w:rsidRPr="00F57752">
        <w:rPr>
          <w:rFonts w:eastAsia="Times New Roman" w:cstheme="minorHAnsi"/>
          <w:sz w:val="20"/>
          <w:szCs w:val="20"/>
          <w:lang w:val="en-GB" w:eastAsia="de-CH"/>
        </w:rPr>
        <w:t xml:space="preserve">project deliverables may still emerge even in drifting projects, masking misalignment with the more distal, systemic effects that </w:t>
      </w:r>
      <w:r w:rsidR="00D05A21">
        <w:rPr>
          <w:rFonts w:eastAsia="Times New Roman" w:cstheme="minorHAnsi"/>
          <w:sz w:val="20"/>
          <w:szCs w:val="20"/>
          <w:lang w:val="en-GB" w:eastAsia="de-CH"/>
        </w:rPr>
        <w:t>lasting transformation</w:t>
      </w:r>
      <w:r w:rsidR="00D05A21" w:rsidRPr="00F57752">
        <w:rPr>
          <w:rFonts w:eastAsia="Times New Roman" w:cstheme="minorHAnsi"/>
          <w:sz w:val="20"/>
          <w:szCs w:val="20"/>
          <w:lang w:val="en-GB" w:eastAsia="de-CH"/>
        </w:rPr>
        <w:t xml:space="preserve"> </w:t>
      </w:r>
      <w:r w:rsidRPr="00F57752">
        <w:rPr>
          <w:rFonts w:eastAsia="Times New Roman" w:cstheme="minorHAnsi"/>
          <w:sz w:val="20"/>
          <w:szCs w:val="20"/>
          <w:lang w:val="en-GB" w:eastAsia="de-CH"/>
        </w:rPr>
        <w:t>require</w:t>
      </w:r>
      <w:r w:rsidR="00D05A21">
        <w:rPr>
          <w:rFonts w:eastAsia="Times New Roman" w:cstheme="minorHAnsi"/>
          <w:sz w:val="20"/>
          <w:szCs w:val="20"/>
          <w:lang w:val="en-GB" w:eastAsia="de-CH"/>
        </w:rPr>
        <w:t>s</w:t>
      </w:r>
      <w:r w:rsidRPr="00F57752">
        <w:rPr>
          <w:rFonts w:eastAsia="Times New Roman" w:cstheme="minorHAnsi"/>
          <w:sz w:val="20"/>
          <w:szCs w:val="20"/>
          <w:lang w:val="en-GB" w:eastAsia="de-CH"/>
        </w:rPr>
        <w:t>.</w:t>
      </w:r>
      <w:r w:rsidR="00E8309B">
        <w:rPr>
          <w:rFonts w:eastAsia="Times New Roman" w:cstheme="minorHAnsi"/>
          <w:sz w:val="20"/>
          <w:szCs w:val="20"/>
          <w:lang w:val="en-GB" w:eastAsia="de-CH"/>
        </w:rPr>
        <w:t xml:space="preserve"> </w:t>
      </w:r>
      <w:r w:rsidRPr="00F57752">
        <w:rPr>
          <w:rFonts w:eastAsia="Times New Roman" w:cstheme="minorHAnsi"/>
          <w:sz w:val="20"/>
          <w:szCs w:val="20"/>
          <w:lang w:val="en-GB" w:eastAsia="de-CH"/>
        </w:rPr>
        <w:t xml:space="preserve">To </w:t>
      </w:r>
      <w:r w:rsidR="00387AB4">
        <w:rPr>
          <w:rFonts w:eastAsia="Times New Roman" w:cstheme="minorHAnsi"/>
          <w:sz w:val="20"/>
          <w:szCs w:val="20"/>
          <w:lang w:val="en-GB" w:eastAsia="de-CH"/>
        </w:rPr>
        <w:t xml:space="preserve">illustrate how this triangle can be navigated in TDR, we draw on </w:t>
      </w:r>
      <w:r w:rsidRPr="00F57752">
        <w:rPr>
          <w:rFonts w:eastAsia="Times New Roman" w:cstheme="minorHAnsi"/>
          <w:sz w:val="20"/>
          <w:szCs w:val="20"/>
          <w:lang w:val="en-GB" w:eastAsia="de-CH"/>
        </w:rPr>
        <w:t>four cross-cutting process quality principles</w:t>
      </w:r>
      <w:r w:rsidR="00387AB4">
        <w:rPr>
          <w:rFonts w:eastAsia="Times New Roman" w:cstheme="minorHAnsi"/>
          <w:sz w:val="20"/>
          <w:szCs w:val="20"/>
          <w:lang w:val="en-GB" w:eastAsia="de-CH"/>
        </w:rPr>
        <w:t xml:space="preserve"> identified in our work</w:t>
      </w:r>
      <w:r w:rsidRPr="00F57752">
        <w:rPr>
          <w:rFonts w:eastAsia="Times New Roman" w:cstheme="minorHAnsi"/>
          <w:sz w:val="20"/>
          <w:szCs w:val="20"/>
          <w:lang w:val="en-GB" w:eastAsia="de-CH"/>
        </w:rPr>
        <w:t xml:space="preserve"> — </w:t>
      </w:r>
      <w:r w:rsidRPr="00F57752">
        <w:rPr>
          <w:rFonts w:eastAsia="Times New Roman" w:cstheme="minorHAnsi"/>
          <w:i/>
          <w:iCs/>
          <w:sz w:val="20"/>
          <w:szCs w:val="20"/>
          <w:lang w:val="en-GB" w:eastAsia="de-CH"/>
        </w:rPr>
        <w:t>junctions</w:t>
      </w:r>
      <w:r w:rsidRPr="00F57752">
        <w:rPr>
          <w:rFonts w:eastAsia="Times New Roman" w:cstheme="minorHAnsi"/>
          <w:sz w:val="20"/>
          <w:szCs w:val="20"/>
          <w:lang w:val="en-GB" w:eastAsia="de-CH"/>
        </w:rPr>
        <w:t xml:space="preserve">: </w:t>
      </w:r>
      <w:r w:rsidRPr="00F57752">
        <w:rPr>
          <w:rFonts w:eastAsia="Times New Roman" w:cstheme="minorHAnsi"/>
          <w:i/>
          <w:iCs/>
          <w:sz w:val="20"/>
          <w:szCs w:val="20"/>
          <w:lang w:val="en-GB" w:eastAsia="de-CH"/>
        </w:rPr>
        <w:t>adaptivity</w:t>
      </w:r>
      <w:r w:rsidRPr="00F57752">
        <w:rPr>
          <w:rFonts w:eastAsia="Times New Roman" w:cstheme="minorHAnsi"/>
          <w:sz w:val="20"/>
          <w:szCs w:val="20"/>
          <w:lang w:val="en-GB" w:eastAsia="de-CH"/>
        </w:rPr>
        <w:t xml:space="preserve"> (responsive adjustment of methods to evolving contextual </w:t>
      </w:r>
      <w:r w:rsidR="000766DA">
        <w:rPr>
          <w:rFonts w:eastAsia="Times New Roman" w:cstheme="minorHAnsi"/>
          <w:sz w:val="20"/>
          <w:szCs w:val="20"/>
          <w:lang w:val="en-GB" w:eastAsia="de-CH"/>
        </w:rPr>
        <w:t>conditions and</w:t>
      </w:r>
      <w:r w:rsidRPr="00F57752">
        <w:rPr>
          <w:rFonts w:eastAsia="Times New Roman" w:cstheme="minorHAnsi"/>
          <w:sz w:val="20"/>
          <w:szCs w:val="20"/>
          <w:lang w:val="en-GB" w:eastAsia="de-CH"/>
        </w:rPr>
        <w:t xml:space="preserve"> dynamics); </w:t>
      </w:r>
      <w:r w:rsidRPr="00F57752">
        <w:rPr>
          <w:rFonts w:eastAsia="Times New Roman" w:cstheme="minorHAnsi"/>
          <w:i/>
          <w:iCs/>
          <w:sz w:val="20"/>
          <w:szCs w:val="20"/>
          <w:lang w:val="en-GB" w:eastAsia="de-CH"/>
        </w:rPr>
        <w:t>hierarchy</w:t>
      </w:r>
      <w:r w:rsidRPr="00F57752">
        <w:rPr>
          <w:rFonts w:eastAsia="Times New Roman" w:cstheme="minorHAnsi"/>
          <w:sz w:val="20"/>
          <w:szCs w:val="20"/>
          <w:lang w:val="en-GB" w:eastAsia="de-CH"/>
        </w:rPr>
        <w:t xml:space="preserve"> (surfacing and balancing power asymmetries between scientific and practice actors); </w:t>
      </w:r>
      <w:r w:rsidRPr="00F57752">
        <w:rPr>
          <w:rFonts w:eastAsia="Times New Roman" w:cstheme="minorHAnsi"/>
          <w:i/>
          <w:iCs/>
          <w:sz w:val="20"/>
          <w:szCs w:val="20"/>
          <w:lang w:val="en-GB" w:eastAsia="de-CH"/>
        </w:rPr>
        <w:t>inclusiveness</w:t>
      </w:r>
      <w:r w:rsidRPr="00F57752">
        <w:rPr>
          <w:rFonts w:eastAsia="Times New Roman" w:cstheme="minorHAnsi"/>
          <w:sz w:val="20"/>
          <w:szCs w:val="20"/>
          <w:lang w:val="en-GB" w:eastAsia="de-CH"/>
        </w:rPr>
        <w:t xml:space="preserve"> (integrating diverse knowledge systems and actor perspectives without losing coherence); and </w:t>
      </w:r>
      <w:r w:rsidRPr="00F57752">
        <w:rPr>
          <w:rFonts w:eastAsia="Times New Roman" w:cstheme="minorHAnsi"/>
          <w:i/>
          <w:iCs/>
          <w:sz w:val="20"/>
          <w:szCs w:val="20"/>
          <w:lang w:val="en-GB" w:eastAsia="de-CH"/>
        </w:rPr>
        <w:t>trust</w:t>
      </w:r>
      <w:r w:rsidRPr="00F57752">
        <w:rPr>
          <w:rFonts w:eastAsia="Times New Roman" w:cstheme="minorHAnsi"/>
          <w:sz w:val="20"/>
          <w:szCs w:val="20"/>
          <w:lang w:val="en-GB" w:eastAsia="de-CH"/>
        </w:rPr>
        <w:t xml:space="preserve"> (building relational conditions that enable genuine co-production and knowledge uptake across system levels).</w:t>
      </w:r>
    </w:p>
    <w:p w14:paraId="0EB3AAA5" w14:textId="5AAF8B49" w:rsidR="00F57752" w:rsidRDefault="00F57752" w:rsidP="00031F9B">
      <w:pPr>
        <w:spacing w:line="240" w:lineRule="auto"/>
        <w:rPr>
          <w:rFonts w:eastAsia="Times New Roman" w:cstheme="minorHAnsi"/>
          <w:sz w:val="20"/>
          <w:szCs w:val="20"/>
          <w:lang w:val="en-GB" w:eastAsia="de-CH"/>
        </w:rPr>
      </w:pPr>
      <w:r w:rsidRPr="00F57752">
        <w:rPr>
          <w:rFonts w:eastAsia="Times New Roman" w:cstheme="minorHAnsi"/>
          <w:sz w:val="20"/>
          <w:szCs w:val="20"/>
          <w:lang w:val="en-GB" w:eastAsia="de-CH"/>
        </w:rPr>
        <w:t xml:space="preserve">Crucially, drift is not primarily a matter of individual competence. It is structurally encouraged by institutional </w:t>
      </w:r>
      <w:r w:rsidR="00E8309B">
        <w:rPr>
          <w:rFonts w:eastAsia="Times New Roman" w:cstheme="minorHAnsi"/>
          <w:sz w:val="20"/>
          <w:szCs w:val="20"/>
          <w:lang w:val="en-GB" w:eastAsia="de-CH"/>
        </w:rPr>
        <w:t xml:space="preserve">environments </w:t>
      </w:r>
      <w:r w:rsidRPr="00F57752">
        <w:rPr>
          <w:rFonts w:eastAsia="Times New Roman" w:cstheme="minorHAnsi"/>
          <w:sz w:val="20"/>
          <w:szCs w:val="20"/>
          <w:lang w:val="en-GB" w:eastAsia="de-CH"/>
        </w:rPr>
        <w:t xml:space="preserve">and funding conditions that reward procedural compliance over reflexive reorientation — making it a systemic feature of TDR itself. </w:t>
      </w:r>
      <w:r w:rsidR="000766DA" w:rsidRPr="000766DA">
        <w:rPr>
          <w:rFonts w:eastAsia="Times New Roman" w:cstheme="minorHAnsi"/>
          <w:sz w:val="20"/>
          <w:szCs w:val="20"/>
          <w:lang w:val="en-GB" w:eastAsia="de-CH"/>
        </w:rPr>
        <w:t xml:space="preserve">By </w:t>
      </w:r>
      <w:r w:rsidR="00676E1D">
        <w:rPr>
          <w:rFonts w:eastAsia="Times New Roman" w:cstheme="minorHAnsi"/>
          <w:sz w:val="20"/>
          <w:szCs w:val="20"/>
          <w:lang w:val="en-GB" w:eastAsia="de-CH"/>
        </w:rPr>
        <w:t>introducing</w:t>
      </w:r>
      <w:r w:rsidR="000766DA" w:rsidRPr="000766DA">
        <w:rPr>
          <w:rFonts w:eastAsia="Times New Roman" w:cstheme="minorHAnsi"/>
          <w:sz w:val="20"/>
          <w:szCs w:val="20"/>
          <w:lang w:val="en-GB" w:eastAsia="de-CH"/>
        </w:rPr>
        <w:t xml:space="preserve"> process drift </w:t>
      </w:r>
      <w:r w:rsidR="00676E1D">
        <w:rPr>
          <w:rFonts w:eastAsia="Times New Roman" w:cstheme="minorHAnsi"/>
          <w:sz w:val="20"/>
          <w:szCs w:val="20"/>
          <w:lang w:val="en-GB" w:eastAsia="de-CH"/>
        </w:rPr>
        <w:t xml:space="preserve">as  a </w:t>
      </w:r>
      <w:r w:rsidR="000766DA" w:rsidRPr="000766DA">
        <w:rPr>
          <w:rFonts w:eastAsia="Times New Roman" w:cstheme="minorHAnsi"/>
          <w:sz w:val="20"/>
          <w:szCs w:val="20"/>
          <w:lang w:val="en-GB" w:eastAsia="de-CH"/>
        </w:rPr>
        <w:t xml:space="preserve">conceptual </w:t>
      </w:r>
      <w:r w:rsidR="00676E1D">
        <w:rPr>
          <w:rFonts w:eastAsia="Times New Roman" w:cstheme="minorHAnsi"/>
          <w:sz w:val="20"/>
          <w:szCs w:val="20"/>
          <w:lang w:val="en-GB" w:eastAsia="de-CH"/>
        </w:rPr>
        <w:t>lens</w:t>
      </w:r>
      <w:r w:rsidR="000766DA" w:rsidRPr="000766DA">
        <w:rPr>
          <w:rFonts w:eastAsia="Times New Roman" w:cstheme="minorHAnsi"/>
          <w:sz w:val="20"/>
          <w:szCs w:val="20"/>
          <w:lang w:val="en-GB" w:eastAsia="de-CH"/>
        </w:rPr>
        <w:t>, this contribution invites the ITD community to engage with TDR quality as an object of meta-reflection in its own right — advancing theory development on how transformative ambition can be sustained, not just declared, throughout the research process</w:t>
      </w:r>
      <w:r w:rsidR="000766DA">
        <w:rPr>
          <w:rFonts w:eastAsia="Times New Roman" w:cstheme="minorHAnsi"/>
          <w:sz w:val="20"/>
          <w:szCs w:val="20"/>
          <w:lang w:val="en-GB" w:eastAsia="de-CH"/>
        </w:rPr>
        <w:t xml:space="preserve"> and beyond</w:t>
      </w:r>
      <w:r w:rsidR="000766DA" w:rsidRPr="000766DA">
        <w:rPr>
          <w:rFonts w:eastAsia="Times New Roman" w:cstheme="minorHAnsi"/>
          <w:sz w:val="20"/>
          <w:szCs w:val="20"/>
          <w:lang w:val="en-GB" w:eastAsia="de-CH"/>
        </w:rPr>
        <w:t>.</w:t>
      </w:r>
    </w:p>
    <w:sectPr w:rsidR="00F57752" w:rsidSect="00213512">
      <w:headerReference w:type="default" r:id="rId6"/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39C42" w14:textId="77777777" w:rsidR="00A97151" w:rsidRDefault="00A97151" w:rsidP="00282AE7">
      <w:pPr>
        <w:spacing w:after="0" w:line="240" w:lineRule="auto"/>
      </w:pPr>
      <w:r>
        <w:separator/>
      </w:r>
    </w:p>
  </w:endnote>
  <w:endnote w:type="continuationSeparator" w:id="0">
    <w:p w14:paraId="00201AE9" w14:textId="77777777" w:rsidR="00A97151" w:rsidRDefault="00A97151" w:rsidP="00282A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33D416" w14:textId="77777777" w:rsidR="00A97151" w:rsidRDefault="00A97151" w:rsidP="00282AE7">
      <w:pPr>
        <w:spacing w:after="0" w:line="240" w:lineRule="auto"/>
      </w:pPr>
      <w:r>
        <w:separator/>
      </w:r>
    </w:p>
  </w:footnote>
  <w:footnote w:type="continuationSeparator" w:id="0">
    <w:p w14:paraId="16614F3F" w14:textId="77777777" w:rsidR="00A97151" w:rsidRDefault="00A97151" w:rsidP="00282A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C5EFB" w14:textId="77777777" w:rsidR="00282AE7" w:rsidRDefault="00282AE7" w:rsidP="00282AE7">
    <w:pPr>
      <w:pStyle w:val="Kopfzeile"/>
      <w:jc w:val="center"/>
    </w:pPr>
    <w:r>
      <w:rPr>
        <w:noProof/>
      </w:rPr>
      <w:drawing>
        <wp:inline distT="0" distB="0" distL="0" distR="0" wp14:anchorId="72445523" wp14:editId="428313A1">
          <wp:extent cx="1174090" cy="346067"/>
          <wp:effectExtent l="0" t="0" r="0" b="0"/>
          <wp:docPr id="474308766" name="Imagem 1" descr="Uma imagem com Gráficos, logótipo, Tipo de letra, design gráfico&#10;&#10;Os conteúdos gerados por IA podem estar incorret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4308766" name="Imagem 1" descr="Uma imagem com Gráficos, logótipo, Tipo de letra, design gráfico&#10;&#10;Os conteúdos gerados por IA podem estar incorretos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3813" cy="3518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4BC9B0B" w14:textId="16F18646" w:rsidR="00282AE7" w:rsidRPr="00F57752" w:rsidRDefault="00282AE7" w:rsidP="00282AE7">
    <w:pPr>
      <w:spacing w:before="3"/>
      <w:jc w:val="center"/>
      <w:rPr>
        <w:rFonts w:ascii="Helvetica" w:hAnsi="Helvetica" w:cs="Arial"/>
        <w:bCs/>
        <w:color w:val="3A9DDB"/>
        <w:sz w:val="13"/>
        <w:szCs w:val="13"/>
        <w:lang w:val="en-GB"/>
      </w:rPr>
    </w:pPr>
    <w:r w:rsidRPr="00F57752">
      <w:rPr>
        <w:rFonts w:ascii="Helvetica" w:hAnsi="Helvetica" w:cs="Arial"/>
        <w:bCs/>
        <w:color w:val="3A9DDB"/>
        <w:sz w:val="13"/>
        <w:szCs w:val="13"/>
        <w:lang w:val="en-GB"/>
      </w:rPr>
      <w:t>International Inter- and Transdisciplinarity (ITD) Conference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512"/>
    <w:rsid w:val="00031F9B"/>
    <w:rsid w:val="000766DA"/>
    <w:rsid w:val="00080A90"/>
    <w:rsid w:val="00093BD1"/>
    <w:rsid w:val="00106A44"/>
    <w:rsid w:val="00213512"/>
    <w:rsid w:val="002535CC"/>
    <w:rsid w:val="00282AE7"/>
    <w:rsid w:val="002D38E5"/>
    <w:rsid w:val="00387AB4"/>
    <w:rsid w:val="004E565B"/>
    <w:rsid w:val="00676E1D"/>
    <w:rsid w:val="0072498D"/>
    <w:rsid w:val="008D2DEC"/>
    <w:rsid w:val="009F27BC"/>
    <w:rsid w:val="00A97151"/>
    <w:rsid w:val="00B037F3"/>
    <w:rsid w:val="00B31FDD"/>
    <w:rsid w:val="00BE6BE8"/>
    <w:rsid w:val="00CD3F95"/>
    <w:rsid w:val="00D05A21"/>
    <w:rsid w:val="00D514D5"/>
    <w:rsid w:val="00D63D93"/>
    <w:rsid w:val="00D844A3"/>
    <w:rsid w:val="00E8309B"/>
    <w:rsid w:val="00E957AC"/>
    <w:rsid w:val="00F10019"/>
    <w:rsid w:val="00F478EB"/>
    <w:rsid w:val="00F57752"/>
    <w:rsid w:val="00F7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E47CF"/>
  <w15:chartTrackingRefBased/>
  <w15:docId w15:val="{8B622611-94B3-43BE-AD71-E634035D1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3512"/>
    <w:rPr>
      <w:lang w:val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D63D9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63D9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63D93"/>
    <w:rPr>
      <w:sz w:val="20"/>
      <w:szCs w:val="20"/>
      <w:lang w:val="de-CH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63D9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63D93"/>
    <w:rPr>
      <w:b/>
      <w:bCs/>
      <w:sz w:val="20"/>
      <w:szCs w:val="20"/>
      <w:lang w:val="de-CH"/>
    </w:rPr>
  </w:style>
  <w:style w:type="paragraph" w:styleId="berarbeitung">
    <w:name w:val="Revision"/>
    <w:hidden/>
    <w:uiPriority w:val="99"/>
    <w:semiHidden/>
    <w:rsid w:val="00D63D93"/>
    <w:pPr>
      <w:spacing w:after="0" w:line="240" w:lineRule="auto"/>
    </w:pPr>
    <w:rPr>
      <w:lang w:val="de-CH"/>
    </w:rPr>
  </w:style>
  <w:style w:type="paragraph" w:styleId="Kopfzeile">
    <w:name w:val="header"/>
    <w:basedOn w:val="Standard"/>
    <w:link w:val="KopfzeileZchn"/>
    <w:uiPriority w:val="99"/>
    <w:unhideWhenUsed/>
    <w:rsid w:val="00282A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82AE7"/>
    <w:rPr>
      <w:lang w:val="de-CH"/>
    </w:rPr>
  </w:style>
  <w:style w:type="paragraph" w:styleId="Fuzeile">
    <w:name w:val="footer"/>
    <w:basedOn w:val="Standard"/>
    <w:link w:val="FuzeileZchn"/>
    <w:uiPriority w:val="99"/>
    <w:unhideWhenUsed/>
    <w:rsid w:val="00282A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82AE7"/>
    <w:rPr>
      <w:lang w:val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00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560</Words>
  <Characters>3531</Characters>
  <Application>Microsoft Office Word</Application>
  <DocSecurity>0</DocSecurity>
  <Lines>29</Lines>
  <Paragraphs>8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Patrícia Gazimba Bacalhau</dc:creator>
  <cp:keywords/>
  <dc:description/>
  <cp:lastModifiedBy>Alexandra Lux</cp:lastModifiedBy>
  <cp:revision>6</cp:revision>
  <dcterms:created xsi:type="dcterms:W3CDTF">2026-06-30T10:35:00Z</dcterms:created>
  <dcterms:modified xsi:type="dcterms:W3CDTF">2026-06-30T10:59:00Z</dcterms:modified>
</cp:coreProperties>
</file>