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9D374" w14:textId="77777777" w:rsidR="00282AE7" w:rsidRDefault="00282AE7" w:rsidP="00213512">
      <w:pPr>
        <w:spacing w:after="0" w:line="240" w:lineRule="auto"/>
        <w:rPr>
          <w:rFonts w:eastAsia="Times New Roman" w:cstheme="minorHAnsi"/>
          <w:b/>
          <w:bCs/>
          <w:i/>
          <w:iCs/>
          <w:sz w:val="24"/>
          <w:szCs w:val="24"/>
          <w:lang w:val="en-GB" w:eastAsia="de-CH"/>
        </w:rPr>
      </w:pPr>
    </w:p>
    <w:p w14:paraId="50BCAE0A" w14:textId="124D5E5D" w:rsidR="00282AE7" w:rsidRDefault="00213512" w:rsidP="00282AE7">
      <w:pPr>
        <w:spacing w:after="0" w:line="240" w:lineRule="auto"/>
        <w:jc w:val="center"/>
        <w:rPr>
          <w:rFonts w:eastAsia="Times New Roman" w:cstheme="minorHAnsi"/>
          <w:b/>
          <w:bCs/>
          <w:i/>
          <w:iCs/>
          <w:sz w:val="24"/>
          <w:szCs w:val="24"/>
          <w:lang w:val="en-GB" w:eastAsia="de-CH"/>
        </w:rPr>
      </w:pPr>
      <w:r>
        <w:rPr>
          <w:rFonts w:eastAsia="Times New Roman" w:cstheme="minorHAnsi"/>
          <w:b/>
          <w:bCs/>
          <w:i/>
          <w:iCs/>
          <w:sz w:val="24"/>
          <w:szCs w:val="24"/>
          <w:lang w:val="en-GB" w:eastAsia="de-CH"/>
        </w:rPr>
        <w:t>Abstract Template</w:t>
      </w:r>
    </w:p>
    <w:p w14:paraId="7ADB0AE5" w14:textId="6F2D4C4B" w:rsidR="00213512" w:rsidRPr="008C6C74" w:rsidRDefault="00213512" w:rsidP="00282AE7">
      <w:pPr>
        <w:spacing w:after="0" w:line="240" w:lineRule="auto"/>
        <w:jc w:val="center"/>
        <w:rPr>
          <w:rFonts w:eastAsia="Times New Roman" w:cstheme="minorHAnsi"/>
          <w:b/>
          <w:bCs/>
          <w:i/>
          <w:iCs/>
          <w:sz w:val="24"/>
          <w:szCs w:val="24"/>
          <w:lang w:val="en-GB" w:eastAsia="de-CH"/>
        </w:rPr>
      </w:pPr>
      <w:r>
        <w:rPr>
          <w:rFonts w:eastAsia="Times New Roman" w:cstheme="minorHAnsi"/>
          <w:b/>
          <w:bCs/>
          <w:i/>
          <w:iCs/>
          <w:sz w:val="24"/>
          <w:szCs w:val="24"/>
          <w:lang w:val="en-GB" w:eastAsia="de-CH"/>
        </w:rPr>
        <w:t>International Inter and Transdisciplinarity Conference 2027</w:t>
      </w:r>
    </w:p>
    <w:p w14:paraId="6B2C7655" w14:textId="6E968447" w:rsidR="00D63D93" w:rsidRPr="00282AE7" w:rsidRDefault="00213512" w:rsidP="00282AE7">
      <w:pPr>
        <w:spacing w:after="0" w:line="240" w:lineRule="auto"/>
        <w:jc w:val="center"/>
        <w:rPr>
          <w:rFonts w:eastAsia="Times New Roman" w:cstheme="minorHAnsi"/>
          <w:i/>
          <w:iCs/>
          <w:lang w:val="en-GB" w:eastAsia="de-CH"/>
        </w:rPr>
      </w:pPr>
      <w:r>
        <w:rPr>
          <w:rFonts w:eastAsia="Times New Roman" w:cstheme="minorHAnsi"/>
          <w:i/>
          <w:iCs/>
          <w:lang w:val="en-GB" w:eastAsia="de-CH"/>
        </w:rPr>
        <w:t>Abstract submission through Indico will open April 2026 and end June 2026</w:t>
      </w:r>
    </w:p>
    <w:p w14:paraId="121DEF8C" w14:textId="77777777" w:rsidR="00D63D93" w:rsidRDefault="00D63D93" w:rsidP="00213512">
      <w:pPr>
        <w:spacing w:after="0" w:line="240" w:lineRule="auto"/>
        <w:rPr>
          <w:rFonts w:eastAsia="Times New Roman" w:cstheme="minorHAnsi"/>
          <w:lang w:val="en-GB" w:eastAsia="de-CH"/>
        </w:rPr>
      </w:pPr>
    </w:p>
    <w:p w14:paraId="4983C64C" w14:textId="7896D7B9" w:rsidR="00D63D93" w:rsidRPr="00282AE7" w:rsidRDefault="008D2DEC" w:rsidP="00BC7798">
      <w:pPr>
        <w:spacing w:after="0" w:line="264" w:lineRule="auto"/>
        <w:rPr>
          <w:rFonts w:eastAsia="Times New Roman" w:cstheme="minorHAnsi"/>
          <w:b/>
          <w:bCs/>
          <w:sz w:val="20"/>
          <w:szCs w:val="20"/>
          <w:lang w:val="en-GB" w:eastAsia="de-CH"/>
        </w:rPr>
      </w:pPr>
      <w:r>
        <w:rPr>
          <w:rFonts w:eastAsia="Times New Roman" w:cstheme="minorHAnsi"/>
          <w:lang w:val="en-GB" w:eastAsia="de-CH"/>
        </w:rPr>
        <w:br/>
      </w:r>
      <w:r>
        <w:rPr>
          <w:rFonts w:eastAsia="Times New Roman" w:cstheme="minorHAnsi"/>
          <w:b/>
          <w:bCs/>
          <w:lang w:val="en-GB" w:eastAsia="de-CH"/>
        </w:rPr>
        <w:t>Title</w:t>
      </w:r>
      <w:r>
        <w:rPr>
          <w:rFonts w:eastAsia="Times New Roman" w:cstheme="minorHAnsi"/>
          <w:lang w:val="en-GB" w:eastAsia="de-CH"/>
        </w:rPr>
        <w:t xml:space="preserve"> </w:t>
      </w:r>
    </w:p>
    <w:p w14:paraId="78123952" w14:textId="7037730F" w:rsidR="00D63D93" w:rsidRDefault="00213512" w:rsidP="00BC7798">
      <w:pPr>
        <w:spacing w:after="0" w:line="264" w:lineRule="auto"/>
        <w:rPr>
          <w:rFonts w:eastAsia="Times New Roman" w:cstheme="minorHAnsi"/>
          <w:b/>
          <w:bCs/>
          <w:lang w:val="en-GB" w:eastAsia="de-CH"/>
        </w:rPr>
      </w:pPr>
      <w:r>
        <w:rPr>
          <w:rFonts w:eastAsia="Times New Roman" w:cstheme="minorHAnsi"/>
          <w:b/>
          <w:bCs/>
          <w:lang w:val="en-GB" w:eastAsia="de-CH"/>
        </w:rPr>
        <w:t>Making Transformative Change Governable</w:t>
      </w:r>
    </w:p>
    <w:p w14:paraId="0A54D39C" w14:textId="77777777" w:rsidR="00BC7798" w:rsidRDefault="00BC7798" w:rsidP="00BC7798">
      <w:pPr>
        <w:spacing w:after="0" w:line="264" w:lineRule="auto"/>
        <w:rPr>
          <w:rFonts w:eastAsia="Times New Roman" w:cstheme="minorHAnsi"/>
          <w:b/>
          <w:bCs/>
          <w:lang w:val="en-GB" w:eastAsia="de-CH"/>
        </w:rPr>
      </w:pPr>
    </w:p>
    <w:p w14:paraId="0DA8A198" w14:textId="77777777" w:rsidR="00D63D93" w:rsidRDefault="00213512" w:rsidP="00BC7798">
      <w:pPr>
        <w:spacing w:after="0" w:line="264" w:lineRule="auto"/>
        <w:rPr>
          <w:rFonts w:eastAsia="Times New Roman" w:cstheme="minorHAnsi"/>
          <w:lang w:val="en-GB" w:eastAsia="de-CH"/>
        </w:rPr>
      </w:pPr>
      <w:r>
        <w:rPr>
          <w:rFonts w:eastAsia="Times New Roman" w:cstheme="minorHAnsi"/>
          <w:b/>
          <w:bCs/>
          <w:lang w:val="en-GB" w:eastAsia="de-CH"/>
        </w:rPr>
        <w:t>Authors</w:t>
      </w:r>
      <w:r>
        <w:rPr>
          <w:rFonts w:eastAsia="Times New Roman" w:cstheme="minorHAnsi"/>
          <w:lang w:val="en-GB" w:eastAsia="de-CH"/>
        </w:rPr>
        <w:t xml:space="preserve"> </w:t>
      </w:r>
    </w:p>
    <w:p w14:paraId="1C4402FB" w14:textId="69383BE7" w:rsidR="00213512" w:rsidRPr="00971988" w:rsidRDefault="00971988" w:rsidP="00BC7798">
      <w:pPr>
        <w:spacing w:after="0" w:line="264" w:lineRule="auto"/>
        <w:rPr>
          <w:rFonts w:eastAsia="Times New Roman" w:cstheme="minorHAnsi"/>
          <w:sz w:val="20"/>
          <w:szCs w:val="20"/>
          <w:lang w:val="en-US" w:eastAsia="de-CH"/>
        </w:rPr>
      </w:pPr>
      <w:r w:rsidRPr="00971988">
        <w:rPr>
          <w:rFonts w:eastAsia="Times New Roman" w:cstheme="minorHAnsi"/>
          <w:sz w:val="20"/>
          <w:szCs w:val="20"/>
          <w:lang w:val="en-US" w:eastAsia="de-CH"/>
        </w:rPr>
        <w:t>Rasa Zuzeviciute (Corresponding Author / Speaker), Norwegian University of Science and Technology (NTNU), Norway</w:t>
      </w:r>
    </w:p>
    <w:p w14:paraId="762B531F" w14:textId="5E0640B1" w:rsidR="00891E58" w:rsidRPr="0039091C" w:rsidRDefault="00213512" w:rsidP="00BC7798">
      <w:pPr>
        <w:spacing w:after="0" w:line="264" w:lineRule="auto"/>
        <w:rPr>
          <w:rFonts w:eastAsia="Times New Roman" w:cstheme="minorHAnsi"/>
          <w:b/>
          <w:bCs/>
          <w:lang w:val="en-GB" w:eastAsia="de-CH"/>
        </w:rPr>
      </w:pPr>
      <w:r>
        <w:rPr>
          <w:rFonts w:eastAsia="Times New Roman" w:cstheme="minorHAnsi"/>
          <w:b/>
          <w:bCs/>
          <w:lang w:val="en-GB" w:eastAsia="de-CH"/>
        </w:rPr>
        <w:br/>
        <w:t xml:space="preserve">Content (abstract text) </w:t>
      </w:r>
    </w:p>
    <w:p w14:paraId="11111103" w14:textId="76CEC360" w:rsidR="00213512" w:rsidRDefault="00213512" w:rsidP="00BC7798">
      <w:pPr>
        <w:spacing w:after="120" w:line="264" w:lineRule="auto"/>
        <w:jc w:val="both"/>
        <w:rPr>
          <w:rFonts w:eastAsia="Times New Roman" w:cstheme="minorHAnsi"/>
          <w:lang w:val="en-GB" w:eastAsia="de-CH"/>
        </w:rPr>
      </w:pPr>
      <w:r>
        <w:rPr>
          <w:rFonts w:eastAsia="Times New Roman" w:cstheme="minorHAnsi"/>
          <w:lang w:val="en-GB" w:eastAsia="de-CH"/>
        </w:rPr>
        <w:t>Transformative change remains difficult even where knowledge integration, stakeholder collaboration, and institutional coordination are comparatively well developed. Inter- and transdisciplinary sustainability research has devoted considerable attention to how knowledge and actors are brought together, yet transformative initiatives still encounter persistent difficulties. This paper proposes that these recurring difficulties point to an analytical question that has received comparatively little attention: under what conditions does transformative change become governable?</w:t>
      </w:r>
      <w:r w:rsidR="00891E58">
        <w:rPr>
          <w:rFonts w:eastAsia="Times New Roman" w:cstheme="minorHAnsi"/>
          <w:lang w:val="en-GB" w:eastAsia="de-CH"/>
        </w:rPr>
        <w:t xml:space="preserve"> </w:t>
      </w:r>
      <w:r>
        <w:rPr>
          <w:rFonts w:eastAsia="Times New Roman" w:cstheme="minorHAnsi"/>
          <w:lang w:val="en-GB" w:eastAsia="de-CH"/>
        </w:rPr>
        <w:t>Existing accounts of governability have primarily explained the possibility of governing through institutional arrangements, legitimacy, interaction, coordination, and institutional fit. Across the principal strands of governability research, material systems, infrastructures, territorial conditions, organisational arrangements, and temporal processes are typically treated as implementation contexts, system characteristics, or environmental constraints rather than as central elements in explaining how governability is produced. Governability is already understood as relational; what remains insufficiently specified are the heterogeneous relations — among institutions, materials, infrastructures, organisations, territories, and time — through which it is produced and reconfigured. Without understanding these relations, knowledge integration alone cannot explain why similar collaborative processes produce markedly different transformative outcomes across contexts.</w:t>
      </w:r>
      <w:r w:rsidR="00891E58">
        <w:rPr>
          <w:rFonts w:eastAsia="Times New Roman" w:cstheme="minorHAnsi"/>
          <w:lang w:val="en-GB" w:eastAsia="de-CH"/>
        </w:rPr>
        <w:t xml:space="preserve"> </w:t>
      </w:r>
      <w:r>
        <w:rPr>
          <w:rFonts w:eastAsia="Times New Roman" w:cstheme="minorHAnsi"/>
          <w:lang w:val="en-GB" w:eastAsia="de-CH"/>
        </w:rPr>
        <w:t>Building on empirical research across circular economy governance, material systems, and territorial governance, this paper explores how governability is continuously produced through these heterogeneous relations, and how attending to them helps explain why transformative change stalls even where integration succeeds. Rather than proposing another framework for collaboration, the paper develops a conceptual extension of governability for inter- and transdisciplinary research. Examining how governability is produced complements established approaches to knowledge integration and contributes to a richer understanding of the conditions through which transformative change becomes possible.</w:t>
      </w:r>
    </w:p>
    <w:p w14:paraId="73569B34" w14:textId="77777777" w:rsidR="00B35942" w:rsidRDefault="00B35942" w:rsidP="00BC7798">
      <w:pPr>
        <w:spacing w:after="120" w:line="264" w:lineRule="auto"/>
        <w:jc w:val="both"/>
        <w:rPr>
          <w:rFonts w:eastAsia="Times New Roman" w:cstheme="minorHAnsi"/>
          <w:lang w:val="en-GB" w:eastAsia="de-CH"/>
        </w:rPr>
      </w:pPr>
    </w:p>
    <w:p w14:paraId="5E7E8BC7" w14:textId="0EB00F04" w:rsidR="0072498D" w:rsidRPr="0039091C" w:rsidRDefault="00213512" w:rsidP="00BC7798">
      <w:pPr>
        <w:spacing w:after="120" w:line="264" w:lineRule="auto"/>
        <w:jc w:val="both"/>
        <w:rPr>
          <w:rFonts w:eastAsia="Times New Roman" w:cstheme="minorHAnsi"/>
          <w:lang w:val="en-GB" w:eastAsia="de-CH"/>
        </w:rPr>
      </w:pPr>
      <w:r>
        <w:rPr>
          <w:rFonts w:eastAsia="Times New Roman" w:cstheme="minorHAnsi"/>
          <w:b/>
          <w:bCs/>
          <w:lang w:val="en-GB" w:eastAsia="de-CH"/>
        </w:rPr>
        <w:t xml:space="preserve">Keywords: </w:t>
      </w:r>
      <w:r>
        <w:rPr>
          <w:rFonts w:eastAsia="Times New Roman" w:cstheme="minorHAnsi"/>
          <w:lang w:val="en-GB" w:eastAsia="de-CH"/>
        </w:rPr>
        <w:t>governability; transformative change; inter- and transdisciplinary research; circular economy governance; material and territorial relations</w:t>
      </w:r>
    </w:p>
    <w:sectPr w:rsidR="0072498D" w:rsidRPr="0039091C" w:rsidSect="00213512">
      <w:headerReference w:type="default" r:id="rId6"/>
      <w:pgSz w:w="11906" w:h="16838"/>
      <w:pgMar w:top="99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E4716" w14:textId="77777777" w:rsidR="00FA18BF" w:rsidRDefault="00FA18BF" w:rsidP="00282AE7">
      <w:pPr>
        <w:spacing w:after="0" w:line="240" w:lineRule="auto"/>
      </w:pPr>
      <w:r>
        <w:separator/>
      </w:r>
    </w:p>
  </w:endnote>
  <w:endnote w:type="continuationSeparator" w:id="0">
    <w:p w14:paraId="69BAB935" w14:textId="77777777" w:rsidR="00FA18BF" w:rsidRDefault="00FA18BF" w:rsidP="00282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6F4E2" w14:textId="77777777" w:rsidR="00FA18BF" w:rsidRDefault="00FA18BF" w:rsidP="00282AE7">
      <w:pPr>
        <w:spacing w:after="0" w:line="240" w:lineRule="auto"/>
      </w:pPr>
      <w:r>
        <w:separator/>
      </w:r>
    </w:p>
  </w:footnote>
  <w:footnote w:type="continuationSeparator" w:id="0">
    <w:p w14:paraId="44C780B2" w14:textId="77777777" w:rsidR="00FA18BF" w:rsidRDefault="00FA18BF" w:rsidP="00282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5EFB" w14:textId="77777777" w:rsidR="00282AE7" w:rsidRDefault="00282AE7" w:rsidP="00282AE7">
    <w:pPr>
      <w:pStyle w:val="Topptekst"/>
      <w:jc w:val="center"/>
    </w:pPr>
    <w:r>
      <w:rPr>
        <w:noProof/>
      </w:rPr>
      <w:drawing>
        <wp:inline distT="0" distB="0" distL="0" distR="0" wp14:anchorId="72445523" wp14:editId="428313A1">
          <wp:extent cx="1174090" cy="346067"/>
          <wp:effectExtent l="0" t="0" r="0" b="0"/>
          <wp:docPr id="474308766" name="Imagem 1" descr="Uma imagem com Gráficos, logótipo, Tipo de letra, design gráfico  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8766" name="Imagem 1" descr="Uma imagem com Gráficos, logótipo, Tipo de letra, design gráfico  Os conteúdos gerados por IA podem estar incorret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3813" cy="351881"/>
                  </a:xfrm>
                  <a:prstGeom prst="rect">
                    <a:avLst/>
                  </a:prstGeom>
                  <a:noFill/>
                  <a:ln>
                    <a:noFill/>
                  </a:ln>
                </pic:spPr>
              </pic:pic>
            </a:graphicData>
          </a:graphic>
        </wp:inline>
      </w:drawing>
    </w:r>
  </w:p>
  <w:p w14:paraId="54BC9B0B" w14:textId="16F18646" w:rsidR="00282AE7" w:rsidRPr="00971988" w:rsidRDefault="00282AE7" w:rsidP="00282AE7">
    <w:pPr>
      <w:spacing w:before="3"/>
      <w:jc w:val="center"/>
      <w:rPr>
        <w:rFonts w:ascii="Helvetica" w:hAnsi="Helvetica" w:cs="Arial"/>
        <w:bCs/>
        <w:color w:val="3A9DDB"/>
        <w:sz w:val="13"/>
        <w:szCs w:val="13"/>
        <w:lang w:val="en-US"/>
      </w:rPr>
    </w:pPr>
    <w:r w:rsidRPr="00971988">
      <w:rPr>
        <w:rFonts w:ascii="Helvetica" w:hAnsi="Helvetica" w:cs="Arial"/>
        <w:bCs/>
        <w:color w:val="3A9DDB"/>
        <w:sz w:val="13"/>
        <w:szCs w:val="13"/>
        <w:lang w:val="en-US"/>
      </w:rPr>
      <w:t>International Inter- and Transdisciplinarity (ITD) Conference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12"/>
    <w:rsid w:val="00213512"/>
    <w:rsid w:val="00282AE7"/>
    <w:rsid w:val="0039091C"/>
    <w:rsid w:val="0072498D"/>
    <w:rsid w:val="00891E58"/>
    <w:rsid w:val="008D2DEC"/>
    <w:rsid w:val="00971988"/>
    <w:rsid w:val="00A11739"/>
    <w:rsid w:val="00B037F3"/>
    <w:rsid w:val="00B35942"/>
    <w:rsid w:val="00BC7798"/>
    <w:rsid w:val="00D63D93"/>
    <w:rsid w:val="00D844A3"/>
    <w:rsid w:val="00E957AC"/>
    <w:rsid w:val="00FA18B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E47CF"/>
  <w15:chartTrackingRefBased/>
  <w15:docId w15:val="{8B622611-94B3-43BE-AD71-E634035D1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512"/>
    <w:rPr>
      <w:lang w:val="de-CH"/>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uiPriority w:val="99"/>
    <w:semiHidden/>
    <w:unhideWhenUsed/>
    <w:rsid w:val="00D63D93"/>
    <w:rPr>
      <w:sz w:val="16"/>
      <w:szCs w:val="16"/>
    </w:rPr>
  </w:style>
  <w:style w:type="paragraph" w:styleId="Merknadstekst">
    <w:name w:val="annotation text"/>
    <w:basedOn w:val="Normal"/>
    <w:link w:val="MerknadstekstTegn"/>
    <w:uiPriority w:val="99"/>
    <w:semiHidden/>
    <w:unhideWhenUsed/>
    <w:rsid w:val="00D63D93"/>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D63D93"/>
    <w:rPr>
      <w:sz w:val="20"/>
      <w:szCs w:val="20"/>
      <w:lang w:val="de-CH"/>
    </w:rPr>
  </w:style>
  <w:style w:type="paragraph" w:styleId="Kommentaremne">
    <w:name w:val="annotation subject"/>
    <w:basedOn w:val="Merknadstekst"/>
    <w:next w:val="Merknadstekst"/>
    <w:link w:val="KommentaremneTegn"/>
    <w:uiPriority w:val="99"/>
    <w:semiHidden/>
    <w:unhideWhenUsed/>
    <w:rsid w:val="00D63D93"/>
    <w:rPr>
      <w:b/>
      <w:bCs/>
    </w:rPr>
  </w:style>
  <w:style w:type="character" w:customStyle="1" w:styleId="KommentaremneTegn">
    <w:name w:val="Kommentaremne Tegn"/>
    <w:basedOn w:val="MerknadstekstTegn"/>
    <w:link w:val="Kommentaremne"/>
    <w:uiPriority w:val="99"/>
    <w:semiHidden/>
    <w:rsid w:val="00D63D93"/>
    <w:rPr>
      <w:b/>
      <w:bCs/>
      <w:sz w:val="20"/>
      <w:szCs w:val="20"/>
      <w:lang w:val="de-CH"/>
    </w:rPr>
  </w:style>
  <w:style w:type="paragraph" w:styleId="Revisjon">
    <w:name w:val="Revision"/>
    <w:hidden/>
    <w:uiPriority w:val="99"/>
    <w:semiHidden/>
    <w:rsid w:val="00D63D93"/>
    <w:pPr>
      <w:spacing w:after="0" w:line="240" w:lineRule="auto"/>
    </w:pPr>
    <w:rPr>
      <w:lang w:val="de-CH"/>
    </w:rPr>
  </w:style>
  <w:style w:type="paragraph" w:styleId="Topptekst">
    <w:name w:val="header"/>
    <w:basedOn w:val="Normal"/>
    <w:link w:val="TopptekstTegn"/>
    <w:uiPriority w:val="99"/>
    <w:unhideWhenUsed/>
    <w:rsid w:val="00282AE7"/>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282AE7"/>
    <w:rPr>
      <w:lang w:val="de-CH"/>
    </w:rPr>
  </w:style>
  <w:style w:type="paragraph" w:styleId="Bunntekst">
    <w:name w:val="footer"/>
    <w:basedOn w:val="Normal"/>
    <w:link w:val="BunntekstTegn"/>
    <w:uiPriority w:val="99"/>
    <w:unhideWhenUsed/>
    <w:rsid w:val="00282AE7"/>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282AE7"/>
    <w:rPr>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9a10672-822f-4467-a5ba-5bb375967c05}" enabled="0" method="" siteId="{09a10672-822f-4467-a5ba-5bb375967c0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437</Words>
  <Characters>2319</Characters>
  <Application>Microsoft Office Word</Application>
  <DocSecurity>0</DocSecurity>
  <Lines>19</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Patrícia Gazimba Bacalhau</dc:creator>
  <cp:keywords/>
  <dc:description/>
  <cp:lastModifiedBy>Rasa Zuzeviciute</cp:lastModifiedBy>
  <cp:revision>8</cp:revision>
  <dcterms:created xsi:type="dcterms:W3CDTF">2026-04-10T15:30:00Z</dcterms:created>
  <dcterms:modified xsi:type="dcterms:W3CDTF">2026-06-30T19:55:00Z</dcterms:modified>
</cp:coreProperties>
</file>